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133"/>
        <w:gridCol w:w="1417"/>
      </w:tblGrid>
      <w:tr w:rsidR="00464F3F" w:rsidRPr="00464F3F" w:rsidTr="005B3842">
        <w:trPr>
          <w:cantSplit/>
        </w:trPr>
        <w:tc>
          <w:tcPr>
            <w:tcW w:w="7230" w:type="dxa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464F3F" w:rsidRPr="00464F3F" w:rsidTr="005B3842">
        <w:trPr>
          <w:cantSplit/>
        </w:trPr>
        <w:tc>
          <w:tcPr>
            <w:tcW w:w="7230" w:type="dxa"/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3F" w:rsidRPr="00464F3F" w:rsidTr="005B384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F3F" w:rsidRPr="00464F3F" w:rsidRDefault="00464F3F" w:rsidP="00464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F3F" w:rsidRPr="00464F3F" w:rsidRDefault="00464F3F" w:rsidP="00464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464F3F" w:rsidRPr="00464F3F" w:rsidTr="005B384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64F3F" w:rsidRPr="00464F3F" w:rsidTr="005B384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4F3F" w:rsidRPr="00464F3F" w:rsidRDefault="00464F3F" w:rsidP="00464F3F">
            <w:pPr>
              <w:autoSpaceDE w:val="0"/>
              <w:autoSpaceDN w:val="0"/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F3F" w:rsidRPr="00464F3F" w:rsidRDefault="00783051" w:rsidP="005D026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4F3F" w:rsidRPr="0046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F3F" w:rsidRPr="00464F3F" w:rsidRDefault="00783051" w:rsidP="00464F3F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16.08.2018г.</w:t>
            </w:r>
          </w:p>
        </w:tc>
      </w:tr>
    </w:tbl>
    <w:p w:rsidR="00464F3F" w:rsidRPr="00464F3F" w:rsidRDefault="00464F3F" w:rsidP="00464F3F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4F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(распоряжение)</w:t>
      </w:r>
    </w:p>
    <w:p w:rsidR="00464F3F" w:rsidRPr="00464F3F" w:rsidRDefault="00464F3F" w:rsidP="0046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3F" w:rsidRDefault="00464F3F" w:rsidP="00464F3F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D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применения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дов дополнительной классификации</w:t>
      </w:r>
      <w:r w:rsidR="0042377F">
        <w:rPr>
          <w:rFonts w:ascii="Times New Roman" w:hAnsi="Times New Roman" w:cs="Times New Roman"/>
          <w:b/>
          <w:sz w:val="28"/>
          <w:szCs w:val="28"/>
        </w:rPr>
        <w:t xml:space="preserve"> планов финансово-хозяйственной </w:t>
      </w:r>
      <w:r>
        <w:rPr>
          <w:rFonts w:ascii="Times New Roman" w:hAnsi="Times New Roman" w:cs="Times New Roman"/>
          <w:b/>
          <w:sz w:val="28"/>
          <w:szCs w:val="28"/>
        </w:rPr>
        <w:t>деяте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льности муниципальных бюджетных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="00170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 и мун</w:t>
      </w:r>
      <w:r w:rsidR="00091DFB">
        <w:rPr>
          <w:rFonts w:ascii="Times New Roman" w:hAnsi="Times New Roman" w:cs="Times New Roman"/>
          <w:b/>
          <w:sz w:val="28"/>
          <w:szCs w:val="28"/>
        </w:rPr>
        <w:t>и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ципальных автономных учреждений </w:t>
      </w:r>
      <w:proofErr w:type="spellStart"/>
      <w:r w:rsidR="00091DF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64F3F" w:rsidRPr="00A942D0" w:rsidRDefault="00464F3F" w:rsidP="00464F3F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3F" w:rsidRDefault="00464F3F" w:rsidP="0046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Порядка составления и утверждения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финансово-хозяйственной деятел</w:t>
      </w:r>
      <w:r w:rsidR="00170379">
        <w:rPr>
          <w:rFonts w:ascii="Times New Roman" w:hAnsi="Times New Roman" w:cs="Times New Roman"/>
          <w:sz w:val="28"/>
          <w:szCs w:val="28"/>
        </w:rPr>
        <w:t>ьности</w:t>
      </w:r>
      <w:r w:rsidR="00F2132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D73742">
        <w:rPr>
          <w:rFonts w:ascii="Times New Roman" w:hAnsi="Times New Roman" w:cs="Times New Roman"/>
          <w:sz w:val="28"/>
          <w:szCs w:val="28"/>
        </w:rPr>
        <w:t>новлением А</w:t>
      </w:r>
      <w:r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="00D7374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D73742">
        <w:rPr>
          <w:rFonts w:ascii="Times New Roman" w:hAnsi="Times New Roman" w:cs="Times New Roman"/>
          <w:sz w:val="28"/>
          <w:szCs w:val="28"/>
        </w:rPr>
        <w:t>Осташковск</w:t>
      </w:r>
      <w:r w:rsidR="007830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83051">
        <w:rPr>
          <w:rFonts w:ascii="Times New Roman" w:hAnsi="Times New Roman" w:cs="Times New Roman"/>
          <w:sz w:val="28"/>
          <w:szCs w:val="28"/>
        </w:rPr>
        <w:t xml:space="preserve"> городского округа от 18.07.2018 г. № 1248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91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 и утверждения планов финансово-хозяйственн</w:t>
      </w:r>
      <w:r w:rsidR="00F21327">
        <w:rPr>
          <w:rFonts w:ascii="Times New Roman" w:hAnsi="Times New Roman" w:cs="Times New Roman"/>
          <w:sz w:val="28"/>
          <w:szCs w:val="28"/>
        </w:rPr>
        <w:t xml:space="preserve">ой деятельности муниципальных учреждений </w:t>
      </w:r>
      <w:proofErr w:type="spellStart"/>
      <w:r w:rsidR="00D73742">
        <w:rPr>
          <w:rFonts w:ascii="Times New Roman" w:hAnsi="Times New Roman" w:cs="Times New Roman"/>
          <w:sz w:val="28"/>
          <w:szCs w:val="28"/>
        </w:rPr>
        <w:t>Осташ</w:t>
      </w:r>
      <w:r w:rsidR="00170379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73742">
        <w:rPr>
          <w:rFonts w:ascii="Times New Roman" w:hAnsi="Times New Roman" w:cs="Times New Roman"/>
          <w:sz w:val="28"/>
          <w:szCs w:val="28"/>
        </w:rPr>
        <w:t xml:space="preserve"> г</w:t>
      </w:r>
      <w:r w:rsidR="00D73742">
        <w:rPr>
          <w:rFonts w:ascii="Times New Roman" w:hAnsi="Times New Roman" w:cs="Times New Roman"/>
          <w:sz w:val="28"/>
          <w:szCs w:val="28"/>
        </w:rPr>
        <w:t>о</w:t>
      </w:r>
      <w:r w:rsidR="00170379">
        <w:rPr>
          <w:rFonts w:ascii="Times New Roman" w:hAnsi="Times New Roman" w:cs="Times New Roman"/>
          <w:sz w:val="28"/>
          <w:szCs w:val="28"/>
        </w:rPr>
        <w:t>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F3F" w:rsidRDefault="00464F3F" w:rsidP="0046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Default="00464F3F" w:rsidP="00464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4F3F" w:rsidRDefault="00464F3F" w:rsidP="0046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64F3F" w:rsidRDefault="00464F3F" w:rsidP="00464F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применения кодов дополнительной классификации планов финансово-хозяйственной деятельности муниципальных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учреждений</w:t>
      </w:r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1DFB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091DFB">
        <w:rPr>
          <w:rFonts w:ascii="Times New Roman" w:hAnsi="Times New Roman" w:cs="Times New Roman"/>
          <w:sz w:val="28"/>
          <w:szCs w:val="28"/>
        </w:rPr>
        <w:t>ь</w:t>
      </w:r>
      <w:r w:rsidR="00091DFB">
        <w:rPr>
          <w:rFonts w:ascii="Times New Roman" w:hAnsi="Times New Roman" w:cs="Times New Roman"/>
          <w:sz w:val="28"/>
          <w:szCs w:val="28"/>
        </w:rPr>
        <w:t xml:space="preserve">ных автономных учреждений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лагается).</w:t>
      </w:r>
    </w:p>
    <w:p w:rsidR="00464F3F" w:rsidRPr="00F11B69" w:rsidRDefault="00464F3F" w:rsidP="00464F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Финансового управления МО «</w:t>
      </w:r>
      <w:proofErr w:type="spellStart"/>
      <w:r w:rsidRPr="0046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</w:t>
      </w:r>
      <w:r w:rsidR="00CA3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A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22.03.2017 г. № 11</w:t>
      </w:r>
      <w:r w:rsidRPr="00464F3F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«Об утверждении</w:t>
      </w:r>
      <w:r w:rsidR="00CA384E" w:rsidRPr="00CA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E">
        <w:rPr>
          <w:rFonts w:ascii="Times New Roman" w:hAnsi="Times New Roman" w:cs="Times New Roman"/>
          <w:sz w:val="28"/>
          <w:szCs w:val="28"/>
        </w:rPr>
        <w:t>П</w:t>
      </w:r>
      <w:r w:rsidR="00CA384E">
        <w:rPr>
          <w:rFonts w:ascii="Times New Roman" w:hAnsi="Times New Roman" w:cs="Times New Roman"/>
          <w:sz w:val="28"/>
          <w:szCs w:val="28"/>
        </w:rPr>
        <w:t>о</w:t>
      </w:r>
      <w:r w:rsidR="00CA384E">
        <w:rPr>
          <w:rFonts w:ascii="Times New Roman" w:hAnsi="Times New Roman" w:cs="Times New Roman"/>
          <w:sz w:val="28"/>
          <w:szCs w:val="28"/>
        </w:rPr>
        <w:t>рядка применения кодов дополнительной классификации планов ф</w:t>
      </w:r>
      <w:r w:rsidR="00CA384E">
        <w:rPr>
          <w:rFonts w:ascii="Times New Roman" w:hAnsi="Times New Roman" w:cs="Times New Roman"/>
          <w:sz w:val="28"/>
          <w:szCs w:val="28"/>
        </w:rPr>
        <w:t>и</w:t>
      </w:r>
      <w:r w:rsidR="00CA384E">
        <w:rPr>
          <w:rFonts w:ascii="Times New Roman" w:hAnsi="Times New Roman" w:cs="Times New Roman"/>
          <w:sz w:val="28"/>
          <w:szCs w:val="28"/>
        </w:rPr>
        <w:t xml:space="preserve">нансово-хозяйственной деятельности муниципальных бюджетных </w:t>
      </w:r>
      <w:r w:rsidR="00CA384E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proofErr w:type="gramEnd"/>
      <w:r w:rsidR="00CA384E">
        <w:rPr>
          <w:rFonts w:ascii="Times New Roman" w:hAnsi="Times New Roman" w:cs="Times New Roman"/>
          <w:sz w:val="28"/>
          <w:szCs w:val="28"/>
        </w:rPr>
        <w:t xml:space="preserve"> и муниципальных автономных учреждений МО «</w:t>
      </w:r>
      <w:proofErr w:type="spellStart"/>
      <w:r w:rsidR="00CA384E">
        <w:rPr>
          <w:rFonts w:ascii="Times New Roman" w:hAnsi="Times New Roman" w:cs="Times New Roman"/>
          <w:sz w:val="28"/>
          <w:szCs w:val="28"/>
        </w:rPr>
        <w:t>Оста</w:t>
      </w:r>
      <w:r w:rsidR="00CA384E">
        <w:rPr>
          <w:rFonts w:ascii="Times New Roman" w:hAnsi="Times New Roman" w:cs="Times New Roman"/>
          <w:sz w:val="28"/>
          <w:szCs w:val="28"/>
        </w:rPr>
        <w:t>ш</w:t>
      </w:r>
      <w:r w:rsidR="00CA384E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CA38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64F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4F3F" w:rsidRPr="00A942D0" w:rsidRDefault="00464F3F" w:rsidP="00464F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64F3F" w:rsidRPr="00A942D0" w:rsidRDefault="00464F3F" w:rsidP="00464F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2D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A942D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42D0">
        <w:rPr>
          <w:rFonts w:ascii="Times New Roman" w:hAnsi="Times New Roman" w:cs="Times New Roman"/>
          <w:sz w:val="28"/>
          <w:szCs w:val="28"/>
        </w:rPr>
        <w:t xml:space="preserve"> его п</w:t>
      </w:r>
      <w:r w:rsidR="00783051">
        <w:rPr>
          <w:rFonts w:ascii="Times New Roman" w:hAnsi="Times New Roman" w:cs="Times New Roman"/>
          <w:sz w:val="28"/>
          <w:szCs w:val="28"/>
        </w:rPr>
        <w:t xml:space="preserve">одписания и подлежит размещению </w:t>
      </w:r>
      <w:r w:rsidR="00783051" w:rsidRPr="00A942D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783051" w:rsidRPr="00A942D0">
        <w:rPr>
          <w:rFonts w:ascii="Times New Roman" w:hAnsi="Times New Roman" w:cs="Times New Roman"/>
          <w:sz w:val="28"/>
          <w:szCs w:val="28"/>
        </w:rPr>
        <w:t xml:space="preserve"> </w:t>
      </w:r>
      <w:r w:rsidRPr="00A942D0">
        <w:rPr>
          <w:rFonts w:ascii="Times New Roman" w:hAnsi="Times New Roman" w:cs="Times New Roman"/>
          <w:sz w:val="28"/>
          <w:szCs w:val="28"/>
        </w:rPr>
        <w:t xml:space="preserve">на </w:t>
      </w:r>
      <w:r w:rsidR="0078305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7830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83051">
        <w:rPr>
          <w:rFonts w:ascii="Times New Roman" w:eastAsia="Calibri" w:hAnsi="Times New Roman" w:cs="Times New Roman"/>
          <w:sz w:val="28"/>
          <w:szCs w:val="28"/>
        </w:rPr>
        <w:t>Осташковский</w:t>
      </w:r>
      <w:proofErr w:type="spellEnd"/>
      <w:r w:rsidR="0078305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83051">
        <w:rPr>
          <w:rFonts w:ascii="Times New Roman" w:eastAsia="Calibri" w:hAnsi="Times New Roman" w:cs="Times New Roman"/>
          <w:sz w:val="28"/>
          <w:szCs w:val="28"/>
        </w:rPr>
        <w:t>о</w:t>
      </w:r>
      <w:r w:rsidR="00783051">
        <w:rPr>
          <w:rFonts w:ascii="Times New Roman" w:eastAsia="Calibri" w:hAnsi="Times New Roman" w:cs="Times New Roman"/>
          <w:sz w:val="28"/>
          <w:szCs w:val="28"/>
        </w:rPr>
        <w:t>родской округ</w:t>
      </w:r>
      <w:r w:rsidRPr="00A942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4F3F" w:rsidRPr="00CA384E" w:rsidRDefault="00464F3F" w:rsidP="00CA38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F3F" w:rsidRPr="00464F3F" w:rsidRDefault="00464F3F" w:rsidP="00464F3F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64F3F" w:rsidRPr="00464F3F" w:rsidRDefault="00464F3F" w:rsidP="00464F3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4F3F" w:rsidRP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финансового управления </w:t>
      </w: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Осташковского</w:t>
      </w:r>
      <w:proofErr w:type="spellEnd"/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Н.А. Герасимова</w:t>
      </w: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464F3F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742" w:rsidRDefault="00D73742" w:rsidP="007830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051" w:rsidRDefault="00783051" w:rsidP="007830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3F" w:rsidRDefault="00464F3F" w:rsidP="00B13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41" w:rsidRPr="00464F3F" w:rsidRDefault="00B13241" w:rsidP="00B1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42" w:rsidRDefault="00D73742" w:rsidP="00B1324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приказу </w:t>
      </w:r>
    </w:p>
    <w:p w:rsidR="00D73742" w:rsidRDefault="00D73742" w:rsidP="00B1324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64F3F" w:rsidRPr="00444F50">
        <w:rPr>
          <w:rFonts w:ascii="Times New Roman" w:hAnsi="Times New Roman" w:cs="Times New Roman"/>
          <w:b/>
          <w:sz w:val="28"/>
          <w:szCs w:val="28"/>
        </w:rPr>
        <w:t>инансового управления</w:t>
      </w:r>
    </w:p>
    <w:p w:rsidR="00464F3F" w:rsidRPr="00444F50" w:rsidRDefault="00D73742" w:rsidP="00B1324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464F3F" w:rsidRPr="0044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3051">
        <w:rPr>
          <w:rFonts w:ascii="Times New Roman" w:hAnsi="Times New Roman" w:cs="Times New Roman"/>
          <w:b/>
          <w:sz w:val="28"/>
          <w:szCs w:val="28"/>
        </w:rPr>
        <w:t>16.08.2018</w:t>
      </w:r>
      <w:r w:rsidR="00B1324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7F82">
        <w:rPr>
          <w:rFonts w:ascii="Times New Roman" w:hAnsi="Times New Roman" w:cs="Times New Roman"/>
          <w:b/>
          <w:sz w:val="28"/>
          <w:szCs w:val="28"/>
        </w:rPr>
        <w:t xml:space="preserve"> № 32</w:t>
      </w:r>
      <w:r w:rsidR="00783051">
        <w:rPr>
          <w:rFonts w:ascii="Times New Roman" w:hAnsi="Times New Roman" w:cs="Times New Roman"/>
          <w:b/>
          <w:sz w:val="28"/>
          <w:szCs w:val="28"/>
        </w:rPr>
        <w:t>-нп</w:t>
      </w:r>
    </w:p>
    <w:p w:rsidR="00464F3F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444F50">
        <w:rPr>
          <w:rFonts w:ascii="Times New Roman" w:hAnsi="Times New Roman" w:cs="Times New Roman"/>
          <w:b/>
          <w:sz w:val="28"/>
          <w:szCs w:val="28"/>
        </w:rPr>
        <w:t>применения кодов дополнительной классификации планов ф</w:t>
      </w:r>
      <w:r w:rsidRPr="00444F50">
        <w:rPr>
          <w:rFonts w:ascii="Times New Roman" w:hAnsi="Times New Roman" w:cs="Times New Roman"/>
          <w:b/>
          <w:sz w:val="28"/>
          <w:szCs w:val="28"/>
        </w:rPr>
        <w:t>и</w:t>
      </w:r>
      <w:r w:rsidRPr="00444F50">
        <w:rPr>
          <w:rFonts w:ascii="Times New Roman" w:hAnsi="Times New Roman" w:cs="Times New Roman"/>
          <w:b/>
          <w:sz w:val="28"/>
          <w:szCs w:val="28"/>
        </w:rPr>
        <w:t>нансово-хозяйственной деяте</w:t>
      </w:r>
      <w:r w:rsidR="00D73742">
        <w:rPr>
          <w:rFonts w:ascii="Times New Roman" w:hAnsi="Times New Roman" w:cs="Times New Roman"/>
          <w:b/>
          <w:sz w:val="28"/>
          <w:szCs w:val="28"/>
        </w:rPr>
        <w:t xml:space="preserve">льности муниципальных бюджетных </w:t>
      </w:r>
      <w:r w:rsidR="00170379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proofErr w:type="gramEnd"/>
      <w:r w:rsidR="00170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379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D73742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0379">
        <w:rPr>
          <w:rFonts w:ascii="Times New Roman" w:hAnsi="Times New Roman" w:cs="Times New Roman"/>
          <w:b/>
          <w:sz w:val="28"/>
          <w:szCs w:val="28"/>
        </w:rPr>
        <w:t>родского</w:t>
      </w:r>
      <w:r w:rsidR="00D7374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b/>
          <w:sz w:val="28"/>
          <w:szCs w:val="28"/>
        </w:rPr>
        <w:t>а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 и муниципальных авт</w:t>
      </w:r>
      <w:r w:rsidR="00091DFB">
        <w:rPr>
          <w:rFonts w:ascii="Times New Roman" w:hAnsi="Times New Roman" w:cs="Times New Roman"/>
          <w:b/>
          <w:sz w:val="28"/>
          <w:szCs w:val="28"/>
        </w:rPr>
        <w:t>о</w:t>
      </w:r>
      <w:r w:rsidR="00091DFB">
        <w:rPr>
          <w:rFonts w:ascii="Times New Roman" w:hAnsi="Times New Roman" w:cs="Times New Roman"/>
          <w:b/>
          <w:sz w:val="28"/>
          <w:szCs w:val="28"/>
        </w:rPr>
        <w:t xml:space="preserve">номных учреждений </w:t>
      </w:r>
      <w:proofErr w:type="spellStart"/>
      <w:r w:rsidR="00091DF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1.</w:t>
      </w:r>
      <w:r w:rsidRPr="00444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ежегодно составляется муниципальным бюджетным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737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70379">
        <w:rPr>
          <w:rFonts w:ascii="Times New Roman" w:hAnsi="Times New Roman" w:cs="Times New Roman"/>
          <w:sz w:val="28"/>
          <w:szCs w:val="28"/>
        </w:rPr>
        <w:t>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</w:t>
      </w:r>
      <w:r w:rsidR="00D73742">
        <w:rPr>
          <w:rFonts w:ascii="Times New Roman" w:hAnsi="Times New Roman" w:cs="Times New Roman"/>
          <w:sz w:val="28"/>
          <w:szCs w:val="28"/>
        </w:rPr>
        <w:t>у</w:t>
      </w:r>
      <w:r w:rsidR="00D73742">
        <w:rPr>
          <w:rFonts w:ascii="Times New Roman" w:hAnsi="Times New Roman" w:cs="Times New Roman"/>
          <w:sz w:val="28"/>
          <w:szCs w:val="28"/>
        </w:rPr>
        <w:t>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="00D73742">
        <w:rPr>
          <w:rFonts w:ascii="Times New Roman" w:hAnsi="Times New Roman" w:cs="Times New Roman"/>
          <w:sz w:val="28"/>
          <w:szCs w:val="28"/>
        </w:rPr>
        <w:t xml:space="preserve"> </w:t>
      </w:r>
      <w:r w:rsidR="00091DFB">
        <w:rPr>
          <w:rFonts w:ascii="Times New Roman" w:hAnsi="Times New Roman" w:cs="Times New Roman"/>
          <w:sz w:val="28"/>
          <w:szCs w:val="28"/>
        </w:rPr>
        <w:t xml:space="preserve">и муниципальным автономным учреждением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(далее – план ФХД), в соответствии с требованиями Порядка соста</w:t>
      </w:r>
      <w:r w:rsidRPr="00444F50">
        <w:rPr>
          <w:rFonts w:ascii="Times New Roman" w:hAnsi="Times New Roman" w:cs="Times New Roman"/>
          <w:sz w:val="28"/>
          <w:szCs w:val="28"/>
        </w:rPr>
        <w:t>в</w:t>
      </w:r>
      <w:r w:rsidRPr="00444F50">
        <w:rPr>
          <w:rFonts w:ascii="Times New Roman" w:hAnsi="Times New Roman" w:cs="Times New Roman"/>
          <w:sz w:val="28"/>
          <w:szCs w:val="28"/>
        </w:rPr>
        <w:t>ления и утверждения планов финансово-хозяйственной деятел</w:t>
      </w:r>
      <w:r w:rsidR="00170379">
        <w:rPr>
          <w:rFonts w:ascii="Times New Roman" w:hAnsi="Times New Roman" w:cs="Times New Roman"/>
          <w:sz w:val="28"/>
          <w:szCs w:val="28"/>
        </w:rPr>
        <w:t>ьности мун</w:t>
      </w:r>
      <w:r w:rsidR="00170379">
        <w:rPr>
          <w:rFonts w:ascii="Times New Roman" w:hAnsi="Times New Roman" w:cs="Times New Roman"/>
          <w:sz w:val="28"/>
          <w:szCs w:val="28"/>
        </w:rPr>
        <w:t>и</w:t>
      </w:r>
      <w:r w:rsidR="00170379">
        <w:rPr>
          <w:rFonts w:ascii="Times New Roman" w:hAnsi="Times New Roman" w:cs="Times New Roman"/>
          <w:sz w:val="28"/>
          <w:szCs w:val="28"/>
        </w:rPr>
        <w:t>ципальных</w:t>
      </w:r>
      <w:r w:rsidR="007129A4">
        <w:rPr>
          <w:rFonts w:ascii="Times New Roman" w:hAnsi="Times New Roman" w:cs="Times New Roman"/>
          <w:sz w:val="28"/>
          <w:szCs w:val="28"/>
        </w:rPr>
        <w:t xml:space="preserve">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737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4B4206">
        <w:rPr>
          <w:rFonts w:ascii="Times New Roman" w:hAnsi="Times New Roman" w:cs="Times New Roman"/>
          <w:sz w:val="28"/>
          <w:szCs w:val="28"/>
        </w:rPr>
        <w:t>ем А</w:t>
      </w:r>
      <w:r w:rsidRPr="00444F50">
        <w:rPr>
          <w:rFonts w:ascii="Times New Roman" w:hAnsi="Times New Roman" w:cs="Times New Roman"/>
          <w:sz w:val="28"/>
          <w:szCs w:val="28"/>
        </w:rPr>
        <w:t>дминистра</w:t>
      </w:r>
      <w:r w:rsidR="004B420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83051">
        <w:rPr>
          <w:rFonts w:ascii="Times New Roman" w:hAnsi="Times New Roman" w:cs="Times New Roman"/>
          <w:sz w:val="28"/>
          <w:szCs w:val="28"/>
        </w:rPr>
        <w:t xml:space="preserve">от 18.07.2018 г. № 1248 </w:t>
      </w:r>
      <w:r w:rsidRPr="00444F50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планов финансово-хозяйственной деятельности муници</w:t>
      </w:r>
      <w:r w:rsidR="00170379">
        <w:rPr>
          <w:rFonts w:ascii="Times New Roman" w:hAnsi="Times New Roman" w:cs="Times New Roman"/>
          <w:sz w:val="28"/>
          <w:szCs w:val="28"/>
        </w:rPr>
        <w:t>пальных</w:t>
      </w:r>
      <w:r w:rsidR="00E512D1">
        <w:rPr>
          <w:rFonts w:ascii="Times New Roman" w:hAnsi="Times New Roman" w:cs="Times New Roman"/>
          <w:sz w:val="28"/>
          <w:szCs w:val="28"/>
        </w:rPr>
        <w:t xml:space="preserve">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</w:t>
      </w:r>
      <w:r w:rsidR="001703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</w:t>
      </w:r>
      <w:r w:rsidR="00170379">
        <w:rPr>
          <w:rFonts w:ascii="Times New Roman" w:hAnsi="Times New Roman" w:cs="Times New Roman"/>
          <w:sz w:val="28"/>
          <w:szCs w:val="28"/>
        </w:rPr>
        <w:t>родского</w:t>
      </w:r>
      <w:proofErr w:type="gramEnd"/>
      <w:r w:rsidR="004B420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а»</w:t>
      </w:r>
      <w:r w:rsidR="004B4206">
        <w:rPr>
          <w:rFonts w:ascii="Times New Roman" w:hAnsi="Times New Roman" w:cs="Times New Roman"/>
          <w:sz w:val="28"/>
          <w:szCs w:val="28"/>
        </w:rPr>
        <w:t>.</w:t>
      </w:r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2. План ФХД составляется и утверждается по всем источникам фина</w:t>
      </w:r>
      <w:r w:rsidRPr="00444F50">
        <w:rPr>
          <w:rFonts w:ascii="Times New Roman" w:hAnsi="Times New Roman" w:cs="Times New Roman"/>
          <w:sz w:val="28"/>
          <w:szCs w:val="28"/>
        </w:rPr>
        <w:t>н</w:t>
      </w:r>
      <w:r w:rsidRPr="00444F50">
        <w:rPr>
          <w:rFonts w:ascii="Times New Roman" w:hAnsi="Times New Roman" w:cs="Times New Roman"/>
          <w:sz w:val="28"/>
          <w:szCs w:val="28"/>
        </w:rPr>
        <w:t>сового обеспечения деяте</w:t>
      </w:r>
      <w:r w:rsidR="00091DFB">
        <w:rPr>
          <w:rFonts w:ascii="Times New Roman" w:hAnsi="Times New Roman" w:cs="Times New Roman"/>
          <w:sz w:val="28"/>
          <w:szCs w:val="28"/>
        </w:rPr>
        <w:t xml:space="preserve">льности муниципальных бюджетных </w:t>
      </w:r>
      <w:r w:rsidR="0017037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1703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037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B420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0379">
        <w:rPr>
          <w:rFonts w:ascii="Times New Roman" w:hAnsi="Times New Roman" w:cs="Times New Roman"/>
          <w:sz w:val="28"/>
          <w:szCs w:val="28"/>
        </w:rPr>
        <w:t>а</w:t>
      </w:r>
      <w:r w:rsidR="00091DFB">
        <w:rPr>
          <w:rFonts w:ascii="Times New Roman" w:hAnsi="Times New Roman" w:cs="Times New Roman"/>
          <w:sz w:val="28"/>
          <w:szCs w:val="28"/>
        </w:rPr>
        <w:t xml:space="preserve"> и муниципальных автономных учрежд</w:t>
      </w:r>
      <w:r w:rsidR="00091DFB">
        <w:rPr>
          <w:rFonts w:ascii="Times New Roman" w:hAnsi="Times New Roman" w:cs="Times New Roman"/>
          <w:sz w:val="28"/>
          <w:szCs w:val="28"/>
        </w:rPr>
        <w:t>е</w:t>
      </w:r>
      <w:r w:rsidR="00091DFB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091DF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91D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r w:rsidRPr="00444F50">
        <w:rPr>
          <w:rFonts w:ascii="Times New Roman" w:hAnsi="Times New Roman" w:cs="Times New Roman"/>
          <w:sz w:val="28"/>
          <w:szCs w:val="28"/>
        </w:rPr>
        <w:t>(далее – муниципальные учреждения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444F50">
        <w:rPr>
          <w:rFonts w:ascii="Times New Roman" w:hAnsi="Times New Roman" w:cs="Times New Roman"/>
          <w:sz w:val="28"/>
          <w:szCs w:val="28"/>
        </w:rPr>
        <w:t>.</w:t>
      </w:r>
      <w:r w:rsidR="001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3. Показатели по поступлениям и выплатам в таблице 2 плана ФХД «Показатели по поступлениям и выплатам муниципального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детализируются 23 разрядами (таблица 1):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дополнительной классификации, включающим в себя коды д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полнительной классификации плана ФХД (далее – код ДК) (1-17 разряды);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бюджетной классификации (18-20 разряды);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кодом операций сектора государственного управления (далее – КОСГУ) (21-23 разряды).</w:t>
      </w:r>
    </w:p>
    <w:p w:rsidR="00464F3F" w:rsidRPr="00444F50" w:rsidRDefault="00464F3F" w:rsidP="00464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4"/>
        <w:gridCol w:w="2949"/>
        <w:gridCol w:w="2758"/>
      </w:tblGrid>
      <w:tr w:rsidR="00464F3F" w:rsidRPr="00444F50" w:rsidTr="005B3842">
        <w:tc>
          <w:tcPr>
            <w:tcW w:w="9571" w:type="dxa"/>
            <w:gridSpan w:val="3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Классификация в плане ФХД</w:t>
            </w:r>
          </w:p>
        </w:tc>
      </w:tr>
      <w:tr w:rsidR="00464F3F" w:rsidRPr="00444F50" w:rsidTr="005B3842"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ДК</w:t>
            </w:r>
          </w:p>
        </w:tc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бюджетной кла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сификации</w:t>
            </w:r>
          </w:p>
        </w:tc>
        <w:tc>
          <w:tcPr>
            <w:tcW w:w="319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</w:tr>
      <w:tr w:rsidR="00464F3F" w:rsidRPr="00444F50" w:rsidTr="005B3842"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319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464F3F" w:rsidRPr="00444F50" w:rsidTr="005B3842"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Х.ХХХХ</w:t>
            </w:r>
            <w:proofErr w:type="gramStart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ХХХХХХХХХ.ХХ</w:t>
            </w:r>
          </w:p>
        </w:tc>
        <w:tc>
          <w:tcPr>
            <w:tcW w:w="3190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319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</w:tbl>
    <w:p w:rsidR="00464F3F" w:rsidRPr="00444F50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Показатели по поступлениям и выбытиям в таблице 4 плана ФХД «Сведения о 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средствах, поступающих во временное распоряжение муниц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 xml:space="preserve"> детализир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ваться разрядами дополнительной классификации по решению органа, ос</w:t>
      </w:r>
      <w:r w:rsidRPr="00444F50">
        <w:rPr>
          <w:rFonts w:ascii="Times New Roman" w:hAnsi="Times New Roman" w:cs="Times New Roman"/>
          <w:sz w:val="28"/>
          <w:szCs w:val="28"/>
        </w:rPr>
        <w:t>у</w:t>
      </w:r>
      <w:r w:rsidRPr="00444F50">
        <w:rPr>
          <w:rFonts w:ascii="Times New Roman" w:hAnsi="Times New Roman" w:cs="Times New Roman"/>
          <w:sz w:val="28"/>
          <w:szCs w:val="28"/>
        </w:rPr>
        <w:t xml:space="preserve">ществляющего функции распорядителя бюджетных средств муниципального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(далее – распорядитель).</w:t>
      </w:r>
    </w:p>
    <w:p w:rsidR="00464F3F" w:rsidRPr="00444F50" w:rsidRDefault="00464F3F" w:rsidP="0046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64F3F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дополнительной классификации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5. Код ДК состоит из 17 разрядов (с 1 по 17 разряды).</w:t>
      </w:r>
    </w:p>
    <w:p w:rsidR="00464F3F" w:rsidRPr="00444F50" w:rsidRDefault="00464F3F" w:rsidP="00464F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402"/>
        <w:gridCol w:w="2092"/>
      </w:tblGrid>
      <w:tr w:rsidR="00464F3F" w:rsidRPr="00444F50" w:rsidTr="005B3842">
        <w:tc>
          <w:tcPr>
            <w:tcW w:w="9571" w:type="dxa"/>
            <w:gridSpan w:val="4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ДК</w:t>
            </w:r>
          </w:p>
        </w:tc>
      </w:tr>
      <w:tr w:rsidR="00464F3F" w:rsidRPr="00444F50" w:rsidTr="005B3842">
        <w:tc>
          <w:tcPr>
            <w:tcW w:w="195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Вид финанс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вого обесп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126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дел/подраздел</w:t>
            </w:r>
            <w:proofErr w:type="gramEnd"/>
          </w:p>
        </w:tc>
        <w:tc>
          <w:tcPr>
            <w:tcW w:w="3402" w:type="dxa"/>
          </w:tcPr>
          <w:p w:rsidR="00464F3F" w:rsidRPr="00444F50" w:rsidRDefault="00464F3F" w:rsidP="004B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 xml:space="preserve">ходов муниципального учреждения </w:t>
            </w:r>
            <w:proofErr w:type="spellStart"/>
            <w:r w:rsidR="004B4206">
              <w:rPr>
                <w:rFonts w:ascii="Times New Roman" w:hAnsi="Times New Roman" w:cs="Times New Roman"/>
                <w:sz w:val="28"/>
                <w:szCs w:val="28"/>
              </w:rPr>
              <w:t>Осташко</w:t>
            </w:r>
            <w:r w:rsidR="004B42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42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4B42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92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Код детализ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64F3F" w:rsidRPr="00444F50" w:rsidTr="005B3842">
        <w:tc>
          <w:tcPr>
            <w:tcW w:w="195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402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2092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464F3F" w:rsidRPr="00444F50" w:rsidTr="005B3842">
        <w:tc>
          <w:tcPr>
            <w:tcW w:w="1951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</w:t>
            </w:r>
          </w:p>
        </w:tc>
        <w:tc>
          <w:tcPr>
            <w:tcW w:w="3402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ХХХХХХХХХХ</w:t>
            </w:r>
          </w:p>
        </w:tc>
        <w:tc>
          <w:tcPr>
            <w:tcW w:w="2092" w:type="dxa"/>
          </w:tcPr>
          <w:p w:rsidR="00464F3F" w:rsidRPr="00444F50" w:rsidRDefault="00464F3F" w:rsidP="005B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50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</w:tr>
    </w:tbl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6. Разряд 1 предназначен для кодировки следующих видов финансов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го обеспечения: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«1» - субсидия на финансовое обеспечение выполнения муниципальн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го задания, платные услуги для выполнения муниципального задания;</w:t>
      </w:r>
    </w:p>
    <w:p w:rsidR="004B4206" w:rsidRPr="00444F50" w:rsidRDefault="00464F3F" w:rsidP="004B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«2» - субсидии, предоставляемые в соответствии с абзацем вторым пункта 1 статьи 78.1 Бюджетного кодекса Российской Федерации (далее – субсидии на иные цели);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«4» - поступления от оказания услуг (выполнения работ) на платной основе и от иной приносящей доход деятельности (за исключением платных услуг для выполнения муниципального задания).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7. Разряды с 2 по 5 предназначены для кодировки раздела и подраздела.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По всем видам финансового обеспечения, предусмотренным пунктом 6 настоящего Порядка, в разрядах 2-5 отражается раздел и подраздел на основе 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требований приказа Министерства финансов Российской Федерации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 xml:space="preserve"> от 01.07.2013 № 65н «Об утверждении Указаний о порядке применения бю</w:t>
      </w:r>
      <w:r w:rsidRPr="00444F50">
        <w:rPr>
          <w:rFonts w:ascii="Times New Roman" w:hAnsi="Times New Roman" w:cs="Times New Roman"/>
          <w:sz w:val="28"/>
          <w:szCs w:val="28"/>
        </w:rPr>
        <w:t>д</w:t>
      </w:r>
      <w:r w:rsidRPr="00444F50">
        <w:rPr>
          <w:rFonts w:ascii="Times New Roman" w:hAnsi="Times New Roman" w:cs="Times New Roman"/>
          <w:sz w:val="28"/>
          <w:szCs w:val="28"/>
        </w:rPr>
        <w:t>жетной классификации Российской Федерации» (далее – Приказ МФ РФ № 65н).</w:t>
      </w:r>
    </w:p>
    <w:p w:rsidR="00464F3F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8. Разряды с 6 по 15 предназначены для кодировки целевых статей ра</w:t>
      </w:r>
      <w:r w:rsidRPr="00444F50">
        <w:rPr>
          <w:rFonts w:ascii="Times New Roman" w:hAnsi="Times New Roman" w:cs="Times New Roman"/>
          <w:sz w:val="28"/>
          <w:szCs w:val="28"/>
        </w:rPr>
        <w:t>с</w:t>
      </w:r>
      <w:r w:rsidRPr="00444F50">
        <w:rPr>
          <w:rFonts w:ascii="Times New Roman" w:hAnsi="Times New Roman" w:cs="Times New Roman"/>
          <w:sz w:val="28"/>
          <w:szCs w:val="28"/>
        </w:rPr>
        <w:t xml:space="preserve">ходов муниципального учреждения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(далее – КЦСР МУ).</w:t>
      </w:r>
    </w:p>
    <w:p w:rsidR="004B4206" w:rsidRPr="00444F50" w:rsidRDefault="004B4206" w:rsidP="004B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«Субсидия на финансовое обеспечение выполнения муниц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>пального задания», 6-15 разряды должны соответствовать коду целевой ст</w:t>
      </w:r>
      <w:r w:rsidRPr="00444F50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>тьи расходов бюджета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50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44F50">
        <w:rPr>
          <w:rFonts w:ascii="Times New Roman" w:hAnsi="Times New Roman" w:cs="Times New Roman"/>
          <w:sz w:val="28"/>
          <w:szCs w:val="28"/>
        </w:rPr>
        <w:lastRenderedPageBreak/>
        <w:t>прика</w:t>
      </w:r>
      <w:r w:rsidR="004B4206">
        <w:rPr>
          <w:rFonts w:ascii="Times New Roman" w:hAnsi="Times New Roman" w:cs="Times New Roman"/>
          <w:sz w:val="28"/>
          <w:szCs w:val="28"/>
        </w:rPr>
        <w:t>зом Ф</w:t>
      </w:r>
      <w:r w:rsidRPr="00444F50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50">
        <w:rPr>
          <w:rFonts w:ascii="Times New Roman" w:hAnsi="Times New Roman" w:cs="Times New Roman"/>
          <w:sz w:val="28"/>
          <w:szCs w:val="28"/>
        </w:rPr>
        <w:t>, уст</w:t>
      </w:r>
      <w:r w:rsidRPr="00444F50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 xml:space="preserve">навливающим порядок применения целевых статей расходов бюджета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(далее – Приказ ФУ МО), по которому о</w:t>
      </w:r>
      <w:r w:rsidRPr="00444F50">
        <w:rPr>
          <w:rFonts w:ascii="Times New Roman" w:hAnsi="Times New Roman" w:cs="Times New Roman"/>
          <w:sz w:val="28"/>
          <w:szCs w:val="28"/>
        </w:rPr>
        <w:t>т</w:t>
      </w:r>
      <w:r w:rsidRPr="00444F50">
        <w:rPr>
          <w:rFonts w:ascii="Times New Roman" w:hAnsi="Times New Roman" w:cs="Times New Roman"/>
          <w:sz w:val="28"/>
          <w:szCs w:val="28"/>
        </w:rPr>
        <w:t>ражаются расходы на предоставление субсидии муниципальному учрежд</w:t>
      </w:r>
      <w:r w:rsidRPr="00444F50">
        <w:rPr>
          <w:rFonts w:ascii="Times New Roman" w:hAnsi="Times New Roman" w:cs="Times New Roman"/>
          <w:sz w:val="28"/>
          <w:szCs w:val="28"/>
        </w:rPr>
        <w:t>е</w:t>
      </w:r>
      <w:r w:rsidRPr="00444F50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на финансовое обеспечение выполн</w:t>
      </w:r>
      <w:r w:rsidRPr="00444F50">
        <w:rPr>
          <w:rFonts w:ascii="Times New Roman" w:hAnsi="Times New Roman" w:cs="Times New Roman"/>
          <w:sz w:val="28"/>
          <w:szCs w:val="28"/>
        </w:rPr>
        <w:t>е</w:t>
      </w:r>
      <w:r w:rsidRPr="00444F50">
        <w:rPr>
          <w:rFonts w:ascii="Times New Roman" w:hAnsi="Times New Roman" w:cs="Times New Roman"/>
          <w:sz w:val="28"/>
          <w:szCs w:val="28"/>
        </w:rPr>
        <w:t>ния им муниципального задания.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 xml:space="preserve">ххххххххх.хх» по виду финансового обеспечения «Платные услуги для выполнения муниципального задания», 6-15 разряды принимают значение «0000000000».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«2.хххх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«Субсидии на иные цели», 6-15 разряды должны соответств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вать коду целевой статьи расходов бюджета</w:t>
      </w:r>
      <w:r w:rsidR="004B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0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B4206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4B4206">
        <w:rPr>
          <w:rFonts w:ascii="Times New Roman" w:hAnsi="Times New Roman" w:cs="Times New Roman"/>
          <w:sz w:val="28"/>
          <w:szCs w:val="28"/>
        </w:rPr>
        <w:t>у</w:t>
      </w:r>
      <w:r w:rsidR="004B4206">
        <w:rPr>
          <w:rFonts w:ascii="Times New Roman" w:hAnsi="Times New Roman" w:cs="Times New Roman"/>
          <w:sz w:val="28"/>
          <w:szCs w:val="28"/>
        </w:rPr>
        <w:t>га</w:t>
      </w:r>
      <w:r w:rsidRPr="00444F50">
        <w:rPr>
          <w:rFonts w:ascii="Times New Roman" w:hAnsi="Times New Roman" w:cs="Times New Roman"/>
          <w:sz w:val="28"/>
          <w:szCs w:val="28"/>
        </w:rPr>
        <w:t xml:space="preserve">, утвержденному Приказом ФУ МО, по которому отражаются расходы на предоставление муниципальному учреждению </w:t>
      </w:r>
      <w:proofErr w:type="spellStart"/>
      <w:r w:rsidR="0042377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237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44F50">
        <w:rPr>
          <w:rFonts w:ascii="Times New Roman" w:hAnsi="Times New Roman" w:cs="Times New Roman"/>
          <w:sz w:val="28"/>
          <w:szCs w:val="28"/>
        </w:rPr>
        <w:t>каждой субсидии на иные цели.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«4.хххх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 xml:space="preserve">ххххххххх.хх» по виду финансового обеспечения «Поступления от оказания услуг (выполнения работ) на платной основе и от иной приносящей доход деятельности (за исключением платных услуг для выполнения муниципального задания)», 6-15 разряды принимают значение «0000000000».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кодах ДК, имеющих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го обеспечения «Платные услуги для выполнения муниципального задания» и «4.хххх.хххххххххх.хх» по виду финансового обеспечения «Поступления от оказания услуг (выполнения работ) на платной основе и от иной принос</w:t>
      </w:r>
      <w:r w:rsidRPr="00444F50">
        <w:rPr>
          <w:rFonts w:ascii="Times New Roman" w:hAnsi="Times New Roman" w:cs="Times New Roman"/>
          <w:sz w:val="28"/>
          <w:szCs w:val="28"/>
        </w:rPr>
        <w:t>я</w:t>
      </w:r>
      <w:r w:rsidRPr="00444F50">
        <w:rPr>
          <w:rFonts w:ascii="Times New Roman" w:hAnsi="Times New Roman" w:cs="Times New Roman"/>
          <w:sz w:val="28"/>
          <w:szCs w:val="28"/>
        </w:rPr>
        <w:t>щей доход деятельности (за исключением платных услуг для выполнения муниципального задания)», 6-15 разряды по решению распорядителя могут принимать иное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(детализироваться). </w:t>
      </w:r>
    </w:p>
    <w:p w:rsidR="00464F3F" w:rsidRPr="003735E8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E8">
        <w:rPr>
          <w:rFonts w:ascii="Times New Roman" w:hAnsi="Times New Roman" w:cs="Times New Roman"/>
          <w:sz w:val="28"/>
          <w:szCs w:val="28"/>
        </w:rPr>
        <w:t>В разрядах 6-15 кодов ДК, имеющих вид «1.хххх</w:t>
      </w:r>
      <w:proofErr w:type="gramStart"/>
      <w:r w:rsidRPr="003735E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735E8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«Субсидия на финансовое обеспечение в</w:t>
      </w:r>
      <w:r w:rsidRPr="003735E8">
        <w:rPr>
          <w:rFonts w:ascii="Times New Roman" w:hAnsi="Times New Roman" w:cs="Times New Roman"/>
          <w:sz w:val="28"/>
          <w:szCs w:val="28"/>
        </w:rPr>
        <w:t>ы</w:t>
      </w:r>
      <w:r w:rsidRPr="003735E8">
        <w:rPr>
          <w:rFonts w:ascii="Times New Roman" w:hAnsi="Times New Roman" w:cs="Times New Roman"/>
          <w:sz w:val="28"/>
          <w:szCs w:val="28"/>
        </w:rPr>
        <w:t>полнения муниципального задания», «1.хххх.хххххххххх.хх» по виду фина</w:t>
      </w:r>
      <w:r w:rsidRPr="003735E8">
        <w:rPr>
          <w:rFonts w:ascii="Times New Roman" w:hAnsi="Times New Roman" w:cs="Times New Roman"/>
          <w:sz w:val="28"/>
          <w:szCs w:val="28"/>
        </w:rPr>
        <w:t>н</w:t>
      </w:r>
      <w:r w:rsidRPr="003735E8">
        <w:rPr>
          <w:rFonts w:ascii="Times New Roman" w:hAnsi="Times New Roman" w:cs="Times New Roman"/>
          <w:sz w:val="28"/>
          <w:szCs w:val="28"/>
        </w:rPr>
        <w:t>сового обеспечения «Платные услуги для выполнения муниципального зад</w:t>
      </w:r>
      <w:r w:rsidRPr="003735E8">
        <w:rPr>
          <w:rFonts w:ascii="Times New Roman" w:hAnsi="Times New Roman" w:cs="Times New Roman"/>
          <w:sz w:val="28"/>
          <w:szCs w:val="28"/>
        </w:rPr>
        <w:t>а</w:t>
      </w:r>
      <w:r w:rsidRPr="003735E8">
        <w:rPr>
          <w:rFonts w:ascii="Times New Roman" w:hAnsi="Times New Roman" w:cs="Times New Roman"/>
          <w:sz w:val="28"/>
          <w:szCs w:val="28"/>
        </w:rPr>
        <w:t>ния», «2.хххх.хххххххххх.хх» по виду финансового обеспечения «Субсидии на иные цели» и «4.хххх.хххххххххх.хх» по виду финансового обеспечения «Поступления от оказания услуг (выполнения работ) на платной основе и от иной приносящей доход деятельности (за исключением платных услуг для выполнения муниципального задания)» для отражения остатков средств на начало года один из разрядов</w:t>
      </w:r>
      <w:r>
        <w:rPr>
          <w:rFonts w:ascii="Times New Roman" w:hAnsi="Times New Roman" w:cs="Times New Roman"/>
          <w:sz w:val="28"/>
          <w:szCs w:val="28"/>
        </w:rPr>
        <w:t xml:space="preserve"> (имеющий значение «0»)</w:t>
      </w:r>
      <w:r w:rsidR="005A7962">
        <w:rPr>
          <w:rFonts w:ascii="Times New Roman" w:hAnsi="Times New Roman" w:cs="Times New Roman"/>
          <w:sz w:val="28"/>
          <w:szCs w:val="28"/>
        </w:rPr>
        <w:t xml:space="preserve"> может приним</w:t>
      </w:r>
      <w:r w:rsidRPr="003735E8">
        <w:rPr>
          <w:rFonts w:ascii="Times New Roman" w:hAnsi="Times New Roman" w:cs="Times New Roman"/>
          <w:sz w:val="28"/>
          <w:szCs w:val="28"/>
        </w:rPr>
        <w:t xml:space="preserve">ать значение «х». 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9. Разряды с 16 по 17 предназначены для кодировки детализации средств муниципальных учреждений</w:t>
      </w:r>
      <w:r w:rsidR="0042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77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237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50">
        <w:rPr>
          <w:rFonts w:ascii="Times New Roman" w:hAnsi="Times New Roman" w:cs="Times New Roman"/>
          <w:sz w:val="28"/>
          <w:szCs w:val="28"/>
        </w:rPr>
        <w:t>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«Субсидия на финансовое обеспечение выполнения муниц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>пального задания», 16-17 разряды принимают следующие значения: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«01» - средства местного бюджета;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«04» - федеральные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lastRenderedPageBreak/>
        <w:t>«10» - региональные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«11» - средства других бюджетов.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«1.хххх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«Платные услуги для выполнения муниципального задания», 16-17 разряды принимают значение «05» - средства от оказания услуг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444F50">
        <w:rPr>
          <w:rFonts w:ascii="Times New Roman" w:hAnsi="Times New Roman" w:cs="Times New Roman"/>
          <w:sz w:val="28"/>
          <w:szCs w:val="28"/>
        </w:rPr>
        <w:t>работ) на платной основе и от иной приносящей доход деятельн</w:t>
      </w:r>
      <w:r w:rsidRPr="00444F50">
        <w:rPr>
          <w:rFonts w:ascii="Times New Roman" w:hAnsi="Times New Roman" w:cs="Times New Roman"/>
          <w:sz w:val="28"/>
          <w:szCs w:val="28"/>
        </w:rPr>
        <w:t>о</w:t>
      </w:r>
      <w:r w:rsidRPr="00444F50">
        <w:rPr>
          <w:rFonts w:ascii="Times New Roman" w:hAnsi="Times New Roman" w:cs="Times New Roman"/>
          <w:sz w:val="28"/>
          <w:szCs w:val="28"/>
        </w:rPr>
        <w:t>сти.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«2.хххх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«Субсидии на иные цели», 16-17 разряды принимают следу</w:t>
      </w:r>
      <w:r w:rsidRPr="00444F50">
        <w:rPr>
          <w:rFonts w:ascii="Times New Roman" w:hAnsi="Times New Roman" w:cs="Times New Roman"/>
          <w:sz w:val="28"/>
          <w:szCs w:val="28"/>
        </w:rPr>
        <w:t>ю</w:t>
      </w:r>
      <w:r w:rsidRPr="00444F50">
        <w:rPr>
          <w:rFonts w:ascii="Times New Roman" w:hAnsi="Times New Roman" w:cs="Times New Roman"/>
          <w:sz w:val="28"/>
          <w:szCs w:val="28"/>
        </w:rPr>
        <w:t>щие значения: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 xml:space="preserve">«01» - средства местного бюджета; 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«04» - федеральные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«10» - региональные средства;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«11» - средства других бюджетов.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коде ДК, имеющем вид «4.хххх</w:t>
      </w:r>
      <w:proofErr w:type="gramStart"/>
      <w:r w:rsidRPr="00444F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44F50">
        <w:rPr>
          <w:rFonts w:ascii="Times New Roman" w:hAnsi="Times New Roman" w:cs="Times New Roman"/>
          <w:sz w:val="28"/>
          <w:szCs w:val="28"/>
        </w:rPr>
        <w:t>ххххххххх.хх» по виду финансового обеспечения «Поступления от оказания услуг (выполнения работ) на платной основе и от иной приносящей доход деятельности (за исключением платных услуг для выполнения муниципального задания)», 16-17 разряды принимают значение «05» - средства от оказания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44F50">
        <w:rPr>
          <w:rFonts w:ascii="Times New Roman" w:hAnsi="Times New Roman" w:cs="Times New Roman"/>
          <w:sz w:val="28"/>
          <w:szCs w:val="28"/>
        </w:rPr>
        <w:t>работ) на платной основе и от иной приносящей доход деятельности.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бюджетной классификации Российской Федерации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Код бюджетной классификации состоит из 3 разрядов (с 18 по 20 ра</w:t>
      </w:r>
      <w:r w:rsidRPr="00444F50">
        <w:rPr>
          <w:rFonts w:ascii="Times New Roman" w:hAnsi="Times New Roman" w:cs="Times New Roman"/>
          <w:sz w:val="28"/>
          <w:szCs w:val="28"/>
        </w:rPr>
        <w:t>з</w:t>
      </w:r>
      <w:r w:rsidRPr="00444F50">
        <w:rPr>
          <w:rFonts w:ascii="Times New Roman" w:hAnsi="Times New Roman" w:cs="Times New Roman"/>
          <w:sz w:val="28"/>
          <w:szCs w:val="28"/>
        </w:rPr>
        <w:t>ряды).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разделах плана ФХД «Поступления от доходов», «Поступление ф</w:t>
      </w:r>
      <w:r w:rsidRPr="00444F50">
        <w:rPr>
          <w:rFonts w:ascii="Times New Roman" w:hAnsi="Times New Roman" w:cs="Times New Roman"/>
          <w:sz w:val="28"/>
          <w:szCs w:val="28"/>
        </w:rPr>
        <w:t>и</w:t>
      </w:r>
      <w:r w:rsidRPr="00444F50">
        <w:rPr>
          <w:rFonts w:ascii="Times New Roman" w:hAnsi="Times New Roman" w:cs="Times New Roman"/>
          <w:sz w:val="28"/>
          <w:szCs w:val="28"/>
        </w:rPr>
        <w:t>нансовых активов» и «Выбытие финансовых активов» в разрядах 18-20 о</w:t>
      </w:r>
      <w:r w:rsidRPr="00444F50">
        <w:rPr>
          <w:rFonts w:ascii="Times New Roman" w:hAnsi="Times New Roman" w:cs="Times New Roman"/>
          <w:sz w:val="28"/>
          <w:szCs w:val="28"/>
        </w:rPr>
        <w:t>т</w:t>
      </w:r>
      <w:r w:rsidRPr="00444F50">
        <w:rPr>
          <w:rFonts w:ascii="Times New Roman" w:hAnsi="Times New Roman" w:cs="Times New Roman"/>
          <w:sz w:val="28"/>
          <w:szCs w:val="28"/>
        </w:rPr>
        <w:t>ражается КОСГУ в соответствии с требованиями Приказа МФ РФ № 65н.</w:t>
      </w:r>
    </w:p>
    <w:p w:rsidR="00464F3F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В разделе плана ФХД «Выплаты по расходам» в разрядах 18-20 отр</w:t>
      </w:r>
      <w:r w:rsidRPr="00444F50">
        <w:rPr>
          <w:rFonts w:ascii="Times New Roman" w:hAnsi="Times New Roman" w:cs="Times New Roman"/>
          <w:sz w:val="28"/>
          <w:szCs w:val="28"/>
        </w:rPr>
        <w:t>а</w:t>
      </w:r>
      <w:r w:rsidRPr="00444F50">
        <w:rPr>
          <w:rFonts w:ascii="Times New Roman" w:hAnsi="Times New Roman" w:cs="Times New Roman"/>
          <w:sz w:val="28"/>
          <w:szCs w:val="28"/>
        </w:rPr>
        <w:t>жается код видов расходов в соответствии с требованиями Приказа МФ РФ № 65н.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F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Код операций сектора государственного управления</w:t>
      </w:r>
    </w:p>
    <w:p w:rsidR="00464F3F" w:rsidRPr="00444F50" w:rsidRDefault="00464F3F" w:rsidP="0046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Классификация КОСГУ состоит из 3 разрядов (с 21 по 23 разряды).</w:t>
      </w:r>
    </w:p>
    <w:p w:rsidR="00464F3F" w:rsidRPr="00444F50" w:rsidRDefault="00464F3F" w:rsidP="0046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50">
        <w:rPr>
          <w:rFonts w:ascii="Times New Roman" w:hAnsi="Times New Roman" w:cs="Times New Roman"/>
          <w:sz w:val="28"/>
          <w:szCs w:val="28"/>
        </w:rPr>
        <w:t>Классификация КОСГУ является группировкой операций, осуществл</w:t>
      </w:r>
      <w:r w:rsidRPr="00444F50">
        <w:rPr>
          <w:rFonts w:ascii="Times New Roman" w:hAnsi="Times New Roman" w:cs="Times New Roman"/>
          <w:sz w:val="28"/>
          <w:szCs w:val="28"/>
        </w:rPr>
        <w:t>я</w:t>
      </w:r>
      <w:r w:rsidRPr="00444F50">
        <w:rPr>
          <w:rFonts w:ascii="Times New Roman" w:hAnsi="Times New Roman" w:cs="Times New Roman"/>
          <w:sz w:val="28"/>
          <w:szCs w:val="28"/>
        </w:rPr>
        <w:t>емых в секторе государственного управления, в зависимости от экономич</w:t>
      </w:r>
      <w:r w:rsidRPr="00444F50">
        <w:rPr>
          <w:rFonts w:ascii="Times New Roman" w:hAnsi="Times New Roman" w:cs="Times New Roman"/>
          <w:sz w:val="28"/>
          <w:szCs w:val="28"/>
        </w:rPr>
        <w:t>е</w:t>
      </w:r>
      <w:r w:rsidRPr="00444F50">
        <w:rPr>
          <w:rFonts w:ascii="Times New Roman" w:hAnsi="Times New Roman" w:cs="Times New Roman"/>
          <w:sz w:val="28"/>
          <w:szCs w:val="28"/>
        </w:rPr>
        <w:t>ского содержания и отражается только в разделе плана ФХД  «Выплаты по расходам» в разрядах 21-23 в соответствии с требованиями Приказа МФ РФ № 65н.</w:t>
      </w:r>
    </w:p>
    <w:p w:rsidR="00B55154" w:rsidRDefault="00A17F82"/>
    <w:sectPr w:rsidR="00B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64" w:rsidRDefault="00CD0964" w:rsidP="00091DFB">
      <w:pPr>
        <w:spacing w:after="0" w:line="240" w:lineRule="auto"/>
      </w:pPr>
      <w:r>
        <w:separator/>
      </w:r>
    </w:p>
  </w:endnote>
  <w:endnote w:type="continuationSeparator" w:id="0">
    <w:p w:rsidR="00CD0964" w:rsidRDefault="00CD0964" w:rsidP="0009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64" w:rsidRDefault="00CD0964" w:rsidP="00091DFB">
      <w:pPr>
        <w:spacing w:after="0" w:line="240" w:lineRule="auto"/>
      </w:pPr>
      <w:r>
        <w:separator/>
      </w:r>
    </w:p>
  </w:footnote>
  <w:footnote w:type="continuationSeparator" w:id="0">
    <w:p w:rsidR="00CD0964" w:rsidRDefault="00CD0964" w:rsidP="0009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2B2"/>
    <w:multiLevelType w:val="hybridMultilevel"/>
    <w:tmpl w:val="BCC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3"/>
    <w:rsid w:val="00000FDD"/>
    <w:rsid w:val="00010130"/>
    <w:rsid w:val="00010DB4"/>
    <w:rsid w:val="00012E1B"/>
    <w:rsid w:val="000178EA"/>
    <w:rsid w:val="0002016B"/>
    <w:rsid w:val="00037E44"/>
    <w:rsid w:val="00046318"/>
    <w:rsid w:val="00080531"/>
    <w:rsid w:val="00082899"/>
    <w:rsid w:val="00086B2C"/>
    <w:rsid w:val="00086F2A"/>
    <w:rsid w:val="00087B8C"/>
    <w:rsid w:val="000903EE"/>
    <w:rsid w:val="00091DFB"/>
    <w:rsid w:val="000A22BF"/>
    <w:rsid w:val="000A3E22"/>
    <w:rsid w:val="000A477D"/>
    <w:rsid w:val="000A54D0"/>
    <w:rsid w:val="000B12B3"/>
    <w:rsid w:val="000C312E"/>
    <w:rsid w:val="000C4FA8"/>
    <w:rsid w:val="000C68C7"/>
    <w:rsid w:val="000C69FB"/>
    <w:rsid w:val="000D3343"/>
    <w:rsid w:val="000D3721"/>
    <w:rsid w:val="000D5EB4"/>
    <w:rsid w:val="000D65C0"/>
    <w:rsid w:val="000E2A24"/>
    <w:rsid w:val="000E4677"/>
    <w:rsid w:val="000E5824"/>
    <w:rsid w:val="000E5C6E"/>
    <w:rsid w:val="000E68E9"/>
    <w:rsid w:val="000E7C02"/>
    <w:rsid w:val="000F386C"/>
    <w:rsid w:val="000F4A62"/>
    <w:rsid w:val="000F66DC"/>
    <w:rsid w:val="000F7084"/>
    <w:rsid w:val="000F73C0"/>
    <w:rsid w:val="00103D0F"/>
    <w:rsid w:val="00116B51"/>
    <w:rsid w:val="00125253"/>
    <w:rsid w:val="00134B07"/>
    <w:rsid w:val="0014015B"/>
    <w:rsid w:val="00140CC6"/>
    <w:rsid w:val="00151EF7"/>
    <w:rsid w:val="001541E7"/>
    <w:rsid w:val="00161FB4"/>
    <w:rsid w:val="00170379"/>
    <w:rsid w:val="00176FFC"/>
    <w:rsid w:val="001837BC"/>
    <w:rsid w:val="0018507B"/>
    <w:rsid w:val="001929C2"/>
    <w:rsid w:val="0019322F"/>
    <w:rsid w:val="001952F8"/>
    <w:rsid w:val="001C05DE"/>
    <w:rsid w:val="001C67C4"/>
    <w:rsid w:val="001E0035"/>
    <w:rsid w:val="001E0B5E"/>
    <w:rsid w:val="001F1241"/>
    <w:rsid w:val="001F4E65"/>
    <w:rsid w:val="001F75CE"/>
    <w:rsid w:val="00202F5D"/>
    <w:rsid w:val="00210161"/>
    <w:rsid w:val="002150E0"/>
    <w:rsid w:val="00217395"/>
    <w:rsid w:val="00222605"/>
    <w:rsid w:val="0023051B"/>
    <w:rsid w:val="00241E25"/>
    <w:rsid w:val="00243E29"/>
    <w:rsid w:val="0024743D"/>
    <w:rsid w:val="00254348"/>
    <w:rsid w:val="00262696"/>
    <w:rsid w:val="00271C09"/>
    <w:rsid w:val="00274AE9"/>
    <w:rsid w:val="00287CC4"/>
    <w:rsid w:val="00297B83"/>
    <w:rsid w:val="002B0222"/>
    <w:rsid w:val="002B2437"/>
    <w:rsid w:val="002B3EE8"/>
    <w:rsid w:val="002E4E10"/>
    <w:rsid w:val="00300529"/>
    <w:rsid w:val="00303A66"/>
    <w:rsid w:val="00303BC5"/>
    <w:rsid w:val="00303C21"/>
    <w:rsid w:val="003061FF"/>
    <w:rsid w:val="00310CCD"/>
    <w:rsid w:val="00311CAA"/>
    <w:rsid w:val="0031394A"/>
    <w:rsid w:val="003223C0"/>
    <w:rsid w:val="00325B53"/>
    <w:rsid w:val="00330006"/>
    <w:rsid w:val="00330DC5"/>
    <w:rsid w:val="00331A99"/>
    <w:rsid w:val="00331BBF"/>
    <w:rsid w:val="00341492"/>
    <w:rsid w:val="003438F7"/>
    <w:rsid w:val="0034424F"/>
    <w:rsid w:val="00347F67"/>
    <w:rsid w:val="00356870"/>
    <w:rsid w:val="003717D4"/>
    <w:rsid w:val="003868DC"/>
    <w:rsid w:val="003A62F8"/>
    <w:rsid w:val="003B7054"/>
    <w:rsid w:val="003C2B7F"/>
    <w:rsid w:val="003C3BDC"/>
    <w:rsid w:val="003C4D76"/>
    <w:rsid w:val="003D6144"/>
    <w:rsid w:val="003E39C8"/>
    <w:rsid w:val="003E4CBC"/>
    <w:rsid w:val="003E4F0D"/>
    <w:rsid w:val="003E513C"/>
    <w:rsid w:val="003E6688"/>
    <w:rsid w:val="003E6D73"/>
    <w:rsid w:val="003F5529"/>
    <w:rsid w:val="0040784B"/>
    <w:rsid w:val="004119E7"/>
    <w:rsid w:val="00413658"/>
    <w:rsid w:val="004174FA"/>
    <w:rsid w:val="00420826"/>
    <w:rsid w:val="0042377F"/>
    <w:rsid w:val="004240EA"/>
    <w:rsid w:val="004302D9"/>
    <w:rsid w:val="0043218F"/>
    <w:rsid w:val="004409D4"/>
    <w:rsid w:val="00443F1A"/>
    <w:rsid w:val="00446BE7"/>
    <w:rsid w:val="0045255A"/>
    <w:rsid w:val="00464F3F"/>
    <w:rsid w:val="00470E16"/>
    <w:rsid w:val="004750B9"/>
    <w:rsid w:val="0047702F"/>
    <w:rsid w:val="004776B2"/>
    <w:rsid w:val="00486AD7"/>
    <w:rsid w:val="00486FED"/>
    <w:rsid w:val="004944E0"/>
    <w:rsid w:val="004A656C"/>
    <w:rsid w:val="004B13B8"/>
    <w:rsid w:val="004B411B"/>
    <w:rsid w:val="004B4206"/>
    <w:rsid w:val="004B4967"/>
    <w:rsid w:val="004C630B"/>
    <w:rsid w:val="004D0C04"/>
    <w:rsid w:val="004D159E"/>
    <w:rsid w:val="004E28AC"/>
    <w:rsid w:val="004E2A3C"/>
    <w:rsid w:val="004E5636"/>
    <w:rsid w:val="004F3E73"/>
    <w:rsid w:val="004F57E0"/>
    <w:rsid w:val="00500CFD"/>
    <w:rsid w:val="005014D4"/>
    <w:rsid w:val="00502F0B"/>
    <w:rsid w:val="00510D36"/>
    <w:rsid w:val="00514189"/>
    <w:rsid w:val="00515E4B"/>
    <w:rsid w:val="00516750"/>
    <w:rsid w:val="0052222C"/>
    <w:rsid w:val="005242E8"/>
    <w:rsid w:val="0052598B"/>
    <w:rsid w:val="0053360E"/>
    <w:rsid w:val="005355B2"/>
    <w:rsid w:val="00536253"/>
    <w:rsid w:val="00556AB8"/>
    <w:rsid w:val="00556F74"/>
    <w:rsid w:val="005572B7"/>
    <w:rsid w:val="00566006"/>
    <w:rsid w:val="00566350"/>
    <w:rsid w:val="00575E18"/>
    <w:rsid w:val="00576C3F"/>
    <w:rsid w:val="00580E04"/>
    <w:rsid w:val="00583099"/>
    <w:rsid w:val="00585091"/>
    <w:rsid w:val="00596A14"/>
    <w:rsid w:val="005A7962"/>
    <w:rsid w:val="005B3BBC"/>
    <w:rsid w:val="005B4700"/>
    <w:rsid w:val="005B7CD5"/>
    <w:rsid w:val="005C139F"/>
    <w:rsid w:val="005C6C8C"/>
    <w:rsid w:val="005D0267"/>
    <w:rsid w:val="005D126F"/>
    <w:rsid w:val="005D2EBE"/>
    <w:rsid w:val="005D34E7"/>
    <w:rsid w:val="005D629F"/>
    <w:rsid w:val="005E0550"/>
    <w:rsid w:val="005E0F99"/>
    <w:rsid w:val="005E65E5"/>
    <w:rsid w:val="005F7C2C"/>
    <w:rsid w:val="00601554"/>
    <w:rsid w:val="006055AC"/>
    <w:rsid w:val="0062011F"/>
    <w:rsid w:val="006220FC"/>
    <w:rsid w:val="00632B65"/>
    <w:rsid w:val="00632DBF"/>
    <w:rsid w:val="00635C23"/>
    <w:rsid w:val="0065124F"/>
    <w:rsid w:val="00660798"/>
    <w:rsid w:val="006673D7"/>
    <w:rsid w:val="00667BE4"/>
    <w:rsid w:val="00671293"/>
    <w:rsid w:val="006739F4"/>
    <w:rsid w:val="00680172"/>
    <w:rsid w:val="00687C76"/>
    <w:rsid w:val="00691C4D"/>
    <w:rsid w:val="0069311D"/>
    <w:rsid w:val="006A37C1"/>
    <w:rsid w:val="006A5277"/>
    <w:rsid w:val="006B3869"/>
    <w:rsid w:val="006B717B"/>
    <w:rsid w:val="006C7D0C"/>
    <w:rsid w:val="006D03AD"/>
    <w:rsid w:val="006E7244"/>
    <w:rsid w:val="006F5AC3"/>
    <w:rsid w:val="00704AFF"/>
    <w:rsid w:val="00711080"/>
    <w:rsid w:val="007129A4"/>
    <w:rsid w:val="00716E0B"/>
    <w:rsid w:val="00737F3D"/>
    <w:rsid w:val="00747163"/>
    <w:rsid w:val="00753640"/>
    <w:rsid w:val="00765927"/>
    <w:rsid w:val="00766CE6"/>
    <w:rsid w:val="00767731"/>
    <w:rsid w:val="00776752"/>
    <w:rsid w:val="00782E15"/>
    <w:rsid w:val="00783051"/>
    <w:rsid w:val="007834A4"/>
    <w:rsid w:val="00792C81"/>
    <w:rsid w:val="007A2E86"/>
    <w:rsid w:val="007A51F9"/>
    <w:rsid w:val="007B4927"/>
    <w:rsid w:val="007C4527"/>
    <w:rsid w:val="007C5C66"/>
    <w:rsid w:val="007C64D5"/>
    <w:rsid w:val="007D316E"/>
    <w:rsid w:val="007E0228"/>
    <w:rsid w:val="007E0922"/>
    <w:rsid w:val="007F3A65"/>
    <w:rsid w:val="007F6FA3"/>
    <w:rsid w:val="0081580E"/>
    <w:rsid w:val="00837750"/>
    <w:rsid w:val="008403A8"/>
    <w:rsid w:val="00852B9F"/>
    <w:rsid w:val="0085545C"/>
    <w:rsid w:val="00857642"/>
    <w:rsid w:val="008605FE"/>
    <w:rsid w:val="00862EB7"/>
    <w:rsid w:val="008631DD"/>
    <w:rsid w:val="0086636C"/>
    <w:rsid w:val="00872266"/>
    <w:rsid w:val="00875A5D"/>
    <w:rsid w:val="00877EC6"/>
    <w:rsid w:val="00880BBB"/>
    <w:rsid w:val="00894F81"/>
    <w:rsid w:val="008A41E9"/>
    <w:rsid w:val="008A7888"/>
    <w:rsid w:val="008A7B53"/>
    <w:rsid w:val="008B5835"/>
    <w:rsid w:val="008C6780"/>
    <w:rsid w:val="008D2D6F"/>
    <w:rsid w:val="008D4059"/>
    <w:rsid w:val="008F22FF"/>
    <w:rsid w:val="008F31D2"/>
    <w:rsid w:val="008F4715"/>
    <w:rsid w:val="008F5D4A"/>
    <w:rsid w:val="00900E99"/>
    <w:rsid w:val="009032C0"/>
    <w:rsid w:val="00912300"/>
    <w:rsid w:val="009138C2"/>
    <w:rsid w:val="009139B1"/>
    <w:rsid w:val="009149DF"/>
    <w:rsid w:val="00932A12"/>
    <w:rsid w:val="009618C7"/>
    <w:rsid w:val="009630B1"/>
    <w:rsid w:val="009710E9"/>
    <w:rsid w:val="00973E90"/>
    <w:rsid w:val="00977567"/>
    <w:rsid w:val="00981FD9"/>
    <w:rsid w:val="00985953"/>
    <w:rsid w:val="00986852"/>
    <w:rsid w:val="009904E2"/>
    <w:rsid w:val="009A3C21"/>
    <w:rsid w:val="009C1BD7"/>
    <w:rsid w:val="009C1C82"/>
    <w:rsid w:val="009D43FD"/>
    <w:rsid w:val="009E005C"/>
    <w:rsid w:val="009F1C27"/>
    <w:rsid w:val="00A04DD2"/>
    <w:rsid w:val="00A17F82"/>
    <w:rsid w:val="00A23A53"/>
    <w:rsid w:val="00A321F5"/>
    <w:rsid w:val="00A33EFD"/>
    <w:rsid w:val="00A3699C"/>
    <w:rsid w:val="00A43D72"/>
    <w:rsid w:val="00A4477F"/>
    <w:rsid w:val="00A44E14"/>
    <w:rsid w:val="00A502E2"/>
    <w:rsid w:val="00A56D97"/>
    <w:rsid w:val="00A62EC4"/>
    <w:rsid w:val="00A721A2"/>
    <w:rsid w:val="00A7477F"/>
    <w:rsid w:val="00A76AF9"/>
    <w:rsid w:val="00A77CE3"/>
    <w:rsid w:val="00A77ED0"/>
    <w:rsid w:val="00A814C5"/>
    <w:rsid w:val="00A870A6"/>
    <w:rsid w:val="00A87C4A"/>
    <w:rsid w:val="00A9030E"/>
    <w:rsid w:val="00AA27B0"/>
    <w:rsid w:val="00AA7B23"/>
    <w:rsid w:val="00AB242C"/>
    <w:rsid w:val="00AC6437"/>
    <w:rsid w:val="00AC7E7C"/>
    <w:rsid w:val="00AD0C47"/>
    <w:rsid w:val="00AE17CC"/>
    <w:rsid w:val="00AE4CA1"/>
    <w:rsid w:val="00AE734E"/>
    <w:rsid w:val="00AF052B"/>
    <w:rsid w:val="00AF4912"/>
    <w:rsid w:val="00AF74B4"/>
    <w:rsid w:val="00B00F9C"/>
    <w:rsid w:val="00B015E6"/>
    <w:rsid w:val="00B04353"/>
    <w:rsid w:val="00B05039"/>
    <w:rsid w:val="00B05AA7"/>
    <w:rsid w:val="00B07095"/>
    <w:rsid w:val="00B13241"/>
    <w:rsid w:val="00B219CF"/>
    <w:rsid w:val="00B222C8"/>
    <w:rsid w:val="00B31A7D"/>
    <w:rsid w:val="00B36557"/>
    <w:rsid w:val="00B41CCA"/>
    <w:rsid w:val="00B50AF6"/>
    <w:rsid w:val="00B54D23"/>
    <w:rsid w:val="00B60A68"/>
    <w:rsid w:val="00B67D55"/>
    <w:rsid w:val="00B704A5"/>
    <w:rsid w:val="00B81014"/>
    <w:rsid w:val="00B83C4A"/>
    <w:rsid w:val="00B91E79"/>
    <w:rsid w:val="00BA4537"/>
    <w:rsid w:val="00BA7F2D"/>
    <w:rsid w:val="00BB60E5"/>
    <w:rsid w:val="00BC19FE"/>
    <w:rsid w:val="00BC419B"/>
    <w:rsid w:val="00BC4722"/>
    <w:rsid w:val="00BC5121"/>
    <w:rsid w:val="00BD1E0C"/>
    <w:rsid w:val="00BE3540"/>
    <w:rsid w:val="00BE3B3F"/>
    <w:rsid w:val="00BE43FA"/>
    <w:rsid w:val="00BF17F0"/>
    <w:rsid w:val="00BF7291"/>
    <w:rsid w:val="00BF7C60"/>
    <w:rsid w:val="00C0243C"/>
    <w:rsid w:val="00C0747E"/>
    <w:rsid w:val="00C11221"/>
    <w:rsid w:val="00C12359"/>
    <w:rsid w:val="00C14538"/>
    <w:rsid w:val="00C23427"/>
    <w:rsid w:val="00C2466E"/>
    <w:rsid w:val="00C3100A"/>
    <w:rsid w:val="00C43AA8"/>
    <w:rsid w:val="00C514C0"/>
    <w:rsid w:val="00C54221"/>
    <w:rsid w:val="00C57423"/>
    <w:rsid w:val="00C6530A"/>
    <w:rsid w:val="00C8015F"/>
    <w:rsid w:val="00C94A6C"/>
    <w:rsid w:val="00CA384E"/>
    <w:rsid w:val="00CB4ADD"/>
    <w:rsid w:val="00CB573F"/>
    <w:rsid w:val="00CD0964"/>
    <w:rsid w:val="00CD4E0E"/>
    <w:rsid w:val="00CE236E"/>
    <w:rsid w:val="00CF0E0B"/>
    <w:rsid w:val="00CF0FAF"/>
    <w:rsid w:val="00D100F2"/>
    <w:rsid w:val="00D11B20"/>
    <w:rsid w:val="00D2115E"/>
    <w:rsid w:val="00D2337E"/>
    <w:rsid w:val="00D3767B"/>
    <w:rsid w:val="00D6638B"/>
    <w:rsid w:val="00D7281F"/>
    <w:rsid w:val="00D73742"/>
    <w:rsid w:val="00D74265"/>
    <w:rsid w:val="00D747CF"/>
    <w:rsid w:val="00D7640E"/>
    <w:rsid w:val="00D90102"/>
    <w:rsid w:val="00D92E1E"/>
    <w:rsid w:val="00DB1B7A"/>
    <w:rsid w:val="00DB1E0D"/>
    <w:rsid w:val="00DB413D"/>
    <w:rsid w:val="00DB4813"/>
    <w:rsid w:val="00DC258A"/>
    <w:rsid w:val="00DC763D"/>
    <w:rsid w:val="00DE3558"/>
    <w:rsid w:val="00DF1CBD"/>
    <w:rsid w:val="00DF43CD"/>
    <w:rsid w:val="00DF4919"/>
    <w:rsid w:val="00E01498"/>
    <w:rsid w:val="00E04BD7"/>
    <w:rsid w:val="00E06578"/>
    <w:rsid w:val="00E1581D"/>
    <w:rsid w:val="00E17368"/>
    <w:rsid w:val="00E21BB4"/>
    <w:rsid w:val="00E21FCA"/>
    <w:rsid w:val="00E365BD"/>
    <w:rsid w:val="00E466C5"/>
    <w:rsid w:val="00E4756C"/>
    <w:rsid w:val="00E501A6"/>
    <w:rsid w:val="00E512D1"/>
    <w:rsid w:val="00E52A33"/>
    <w:rsid w:val="00E56BA3"/>
    <w:rsid w:val="00E5702D"/>
    <w:rsid w:val="00E65EEB"/>
    <w:rsid w:val="00E81ADC"/>
    <w:rsid w:val="00E840B4"/>
    <w:rsid w:val="00E96429"/>
    <w:rsid w:val="00E97D65"/>
    <w:rsid w:val="00EA22C5"/>
    <w:rsid w:val="00EB4C8F"/>
    <w:rsid w:val="00ED4B50"/>
    <w:rsid w:val="00F074A8"/>
    <w:rsid w:val="00F078E6"/>
    <w:rsid w:val="00F151D2"/>
    <w:rsid w:val="00F21327"/>
    <w:rsid w:val="00F2282A"/>
    <w:rsid w:val="00F309DD"/>
    <w:rsid w:val="00F3208F"/>
    <w:rsid w:val="00F41B24"/>
    <w:rsid w:val="00F43EF1"/>
    <w:rsid w:val="00F50B2A"/>
    <w:rsid w:val="00F54281"/>
    <w:rsid w:val="00F564E3"/>
    <w:rsid w:val="00F62F17"/>
    <w:rsid w:val="00F63F27"/>
    <w:rsid w:val="00F663FF"/>
    <w:rsid w:val="00F93755"/>
    <w:rsid w:val="00F96E15"/>
    <w:rsid w:val="00FA6114"/>
    <w:rsid w:val="00FB67EE"/>
    <w:rsid w:val="00FD563A"/>
    <w:rsid w:val="00FD79E0"/>
    <w:rsid w:val="00FF0253"/>
    <w:rsid w:val="00FF1DC2"/>
    <w:rsid w:val="00FF2D7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F"/>
    <w:pPr>
      <w:ind w:left="720"/>
      <w:contextualSpacing/>
    </w:pPr>
  </w:style>
  <w:style w:type="table" w:styleId="a4">
    <w:name w:val="Table Grid"/>
    <w:basedOn w:val="a1"/>
    <w:uiPriority w:val="59"/>
    <w:rsid w:val="004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DFB"/>
  </w:style>
  <w:style w:type="paragraph" w:styleId="a7">
    <w:name w:val="footer"/>
    <w:basedOn w:val="a"/>
    <w:link w:val="a8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DFB"/>
  </w:style>
  <w:style w:type="paragraph" w:styleId="a9">
    <w:name w:val="Balloon Text"/>
    <w:basedOn w:val="a"/>
    <w:link w:val="aa"/>
    <w:uiPriority w:val="99"/>
    <w:semiHidden/>
    <w:unhideWhenUsed/>
    <w:rsid w:val="00A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3F"/>
    <w:pPr>
      <w:ind w:left="720"/>
      <w:contextualSpacing/>
    </w:pPr>
  </w:style>
  <w:style w:type="table" w:styleId="a4">
    <w:name w:val="Table Grid"/>
    <w:basedOn w:val="a1"/>
    <w:uiPriority w:val="59"/>
    <w:rsid w:val="004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DFB"/>
  </w:style>
  <w:style w:type="paragraph" w:styleId="a7">
    <w:name w:val="footer"/>
    <w:basedOn w:val="a"/>
    <w:link w:val="a8"/>
    <w:uiPriority w:val="99"/>
    <w:unhideWhenUsed/>
    <w:rsid w:val="0009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DFB"/>
  </w:style>
  <w:style w:type="paragraph" w:styleId="a9">
    <w:name w:val="Balloon Text"/>
    <w:basedOn w:val="a"/>
    <w:link w:val="aa"/>
    <w:uiPriority w:val="99"/>
    <w:semiHidden/>
    <w:unhideWhenUsed/>
    <w:rsid w:val="00A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6F74-81D3-4D36-923B-BA01FDE1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Н. Федотов</dc:creator>
  <cp:keywords/>
  <dc:description/>
  <cp:lastModifiedBy>Виктор Н. Федотов</cp:lastModifiedBy>
  <cp:revision>18</cp:revision>
  <cp:lastPrinted>2018-09-04T05:55:00Z</cp:lastPrinted>
  <dcterms:created xsi:type="dcterms:W3CDTF">2018-04-17T11:13:00Z</dcterms:created>
  <dcterms:modified xsi:type="dcterms:W3CDTF">2018-09-04T05:55:00Z</dcterms:modified>
</cp:coreProperties>
</file>