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13" w:rsidRPr="005D77FC" w:rsidRDefault="00C86113" w:rsidP="000C3AB7">
      <w:pPr>
        <w:tabs>
          <w:tab w:val="left" w:pos="552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«УТВЕРЖДЁ</w:t>
      </w:r>
      <w:r w:rsidRPr="005D77FC">
        <w:rPr>
          <w:rFonts w:ascii="Times New Roman" w:hAnsi="Times New Roman"/>
          <w:sz w:val="24"/>
          <w:szCs w:val="24"/>
        </w:rPr>
        <w:t>Н»</w:t>
      </w:r>
    </w:p>
    <w:p w:rsidR="00C86113" w:rsidRPr="005D77FC" w:rsidRDefault="00922A52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</w:t>
      </w:r>
    </w:p>
    <w:p w:rsidR="00C86113" w:rsidRPr="00A34EC4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Контрольно-</w:t>
      </w:r>
      <w:r w:rsidRPr="00A34EC4">
        <w:rPr>
          <w:rFonts w:ascii="Times New Roman" w:hAnsi="Times New Roman"/>
          <w:sz w:val="24"/>
          <w:szCs w:val="24"/>
        </w:rPr>
        <w:t>счетной комиссии</w:t>
      </w:r>
    </w:p>
    <w:p w:rsidR="00C86113" w:rsidRPr="00A34EC4" w:rsidRDefault="00C86113" w:rsidP="00C861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34EC4">
        <w:rPr>
          <w:rFonts w:ascii="Times New Roman" w:hAnsi="Times New Roman"/>
          <w:sz w:val="24"/>
          <w:szCs w:val="24"/>
        </w:rPr>
        <w:t>Осташковского городского округа</w:t>
      </w:r>
    </w:p>
    <w:p w:rsidR="00E745E4" w:rsidRDefault="00C86113" w:rsidP="00C8611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34EC4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>«</w:t>
      </w:r>
      <w:r w:rsidR="00310DB5">
        <w:rPr>
          <w:rFonts w:ascii="Times New Roman" w:hAnsi="Times New Roman"/>
          <w:color w:val="000000"/>
          <w:sz w:val="24"/>
          <w:szCs w:val="24"/>
        </w:rPr>
        <w:t>20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34EC4" w:rsidRPr="00A34EC4">
        <w:rPr>
          <w:rFonts w:ascii="Times New Roman" w:hAnsi="Times New Roman"/>
          <w:color w:val="000000"/>
          <w:sz w:val="24"/>
          <w:szCs w:val="24"/>
        </w:rPr>
        <w:t>декабря</w:t>
      </w:r>
      <w:r w:rsidR="00E745E4" w:rsidRPr="00A34EC4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860EC" w:rsidRPr="00A34EC4">
        <w:rPr>
          <w:rFonts w:ascii="Times New Roman" w:hAnsi="Times New Roman"/>
          <w:color w:val="000000"/>
          <w:sz w:val="24"/>
          <w:szCs w:val="24"/>
        </w:rPr>
        <w:t>2</w:t>
      </w:r>
      <w:r w:rsidR="00370316">
        <w:rPr>
          <w:rFonts w:ascii="Times New Roman" w:hAnsi="Times New Roman"/>
          <w:color w:val="000000"/>
          <w:sz w:val="24"/>
          <w:szCs w:val="24"/>
        </w:rPr>
        <w:t>3</w:t>
      </w:r>
      <w:r w:rsidRPr="00A34EC4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F278D2">
        <w:rPr>
          <w:rFonts w:ascii="Times New Roman" w:hAnsi="Times New Roman"/>
          <w:color w:val="000000"/>
          <w:sz w:val="24"/>
          <w:szCs w:val="24"/>
        </w:rPr>
        <w:t xml:space="preserve"> 09</w:t>
      </w:r>
    </w:p>
    <w:p w:rsidR="00C86113" w:rsidRDefault="00C86113" w:rsidP="00C8611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6113" w:rsidRPr="00A152F5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2F5">
        <w:rPr>
          <w:rFonts w:ascii="Times New Roman" w:hAnsi="Times New Roman"/>
          <w:b/>
          <w:sz w:val="28"/>
          <w:szCs w:val="28"/>
        </w:rPr>
        <w:t xml:space="preserve">План деятельности </w:t>
      </w:r>
    </w:p>
    <w:p w:rsidR="00C86113" w:rsidRDefault="00C86113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комиссии Осташковского городского округа</w:t>
      </w:r>
    </w:p>
    <w:p w:rsidR="00C86113" w:rsidRPr="00A152F5" w:rsidRDefault="00CC3B75" w:rsidP="00C861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</w:t>
      </w:r>
      <w:r w:rsidR="00370316">
        <w:rPr>
          <w:rFonts w:ascii="Times New Roman" w:hAnsi="Times New Roman"/>
          <w:b/>
          <w:sz w:val="28"/>
          <w:szCs w:val="28"/>
        </w:rPr>
        <w:t>4</w:t>
      </w:r>
      <w:r w:rsidR="00C86113" w:rsidRPr="00A152F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3"/>
        <w:gridCol w:w="4878"/>
        <w:gridCol w:w="1855"/>
        <w:gridCol w:w="129"/>
        <w:gridCol w:w="2096"/>
      </w:tblGrid>
      <w:tr w:rsidR="00C86113" w:rsidRPr="006D29D1" w:rsidTr="005A747D">
        <w:trPr>
          <w:trHeight w:val="747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A9505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05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950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9505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7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9D763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763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9505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051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A9505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5051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86113" w:rsidRPr="006D29D1" w:rsidTr="005A747D">
        <w:trPr>
          <w:trHeight w:val="559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9D7633" w:rsidRDefault="00C86113" w:rsidP="005A747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67" w:hanging="2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633">
              <w:rPr>
                <w:rFonts w:ascii="Times New Roman" w:hAnsi="Times New Roman"/>
                <w:b/>
                <w:sz w:val="24"/>
                <w:szCs w:val="24"/>
              </w:rPr>
              <w:t>Экспертно – аналитическая деятельность</w:t>
            </w:r>
          </w:p>
        </w:tc>
      </w:tr>
      <w:tr w:rsidR="00C86113" w:rsidRPr="006D29D1" w:rsidTr="007E1533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9D763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6113" w:rsidRPr="009D7633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Проведение экспертизы  и подготовка заключений по проектам муниципальных правовых актов в части, касающейся расходных обязательств, доходов и источников финансирования дефицита бюджета Осташковского городского округа, а так же муниципальных программ Осташковского городского округа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9D7633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9D7633" w:rsidRDefault="00A34EC4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6D29D1" w:rsidTr="007E1533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6D29D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6113" w:rsidRPr="006D29D1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Проведение экспертизы и представление заключений по проектам решений Осташковской городской Думы о внесении изменений в решение Осташковской городской Думы «О бюджете Осташковского городского округа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 w:rsidR="00370316">
              <w:rPr>
                <w:rFonts w:ascii="Times New Roman" w:hAnsi="Times New Roman"/>
                <w:sz w:val="24"/>
                <w:szCs w:val="24"/>
              </w:rPr>
              <w:t>4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370316">
              <w:rPr>
                <w:rFonts w:ascii="Times New Roman" w:hAnsi="Times New Roman"/>
                <w:sz w:val="24"/>
                <w:szCs w:val="24"/>
              </w:rPr>
              <w:t>5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70316">
              <w:rPr>
                <w:rFonts w:ascii="Times New Roman" w:hAnsi="Times New Roman"/>
                <w:sz w:val="24"/>
                <w:szCs w:val="24"/>
              </w:rPr>
              <w:t>6</w:t>
            </w:r>
            <w:r w:rsidRPr="006D29D1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6D29D1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6D29D1" w:rsidRDefault="00A34EC4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6D29D1" w:rsidTr="007E1533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6D29D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6113" w:rsidRPr="006D29D1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 xml:space="preserve">Проведение оперативного </w:t>
            </w:r>
            <w:proofErr w:type="gramStart"/>
            <w:r w:rsidRPr="006D29D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D29D1">
              <w:rPr>
                <w:rFonts w:ascii="Times New Roman" w:hAnsi="Times New Roman"/>
                <w:sz w:val="24"/>
                <w:szCs w:val="24"/>
              </w:rPr>
              <w:t xml:space="preserve"> исполнением бюджета Осташковского городского округа, представление  Осташковской городской Думе, Администрации Осташковского городского округа заключений по результатам контроля за исполнением бюджета Осташковского городского округа за первый квартал,  первое полугод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>ие и 9 месяцев 202</w:t>
            </w:r>
            <w:r w:rsidR="00922A52" w:rsidRPr="006D29D1">
              <w:rPr>
                <w:rFonts w:ascii="Times New Roman" w:hAnsi="Times New Roman"/>
                <w:sz w:val="24"/>
                <w:szCs w:val="24"/>
              </w:rPr>
              <w:t>2</w:t>
            </w:r>
            <w:r w:rsidRPr="006D29D1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6D29D1" w:rsidRDefault="001A7E5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01.06, до 01.08, до 01.11.202</w:t>
            </w:r>
            <w:r w:rsidR="0037031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соответственно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6D29D1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6D29D1" w:rsidTr="007E1533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733187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6113" w:rsidRPr="00733187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7"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Осташковского городского округа за 20</w:t>
            </w:r>
            <w:r w:rsidR="0023467F" w:rsidRPr="00733187">
              <w:rPr>
                <w:rFonts w:ascii="Times New Roman" w:hAnsi="Times New Roman"/>
                <w:sz w:val="24"/>
                <w:szCs w:val="24"/>
              </w:rPr>
              <w:t>2</w:t>
            </w:r>
            <w:r w:rsidR="00370316">
              <w:rPr>
                <w:rFonts w:ascii="Times New Roman" w:hAnsi="Times New Roman"/>
                <w:sz w:val="24"/>
                <w:szCs w:val="24"/>
              </w:rPr>
              <w:t>3</w:t>
            </w:r>
            <w:r w:rsidRPr="00733187">
              <w:rPr>
                <w:rFonts w:ascii="Times New Roman" w:hAnsi="Times New Roman"/>
                <w:sz w:val="24"/>
                <w:szCs w:val="24"/>
              </w:rPr>
              <w:t xml:space="preserve"> год и представление Осташковско</w:t>
            </w:r>
            <w:r w:rsidR="00370316">
              <w:rPr>
                <w:rFonts w:ascii="Times New Roman" w:hAnsi="Times New Roman"/>
                <w:sz w:val="24"/>
                <w:szCs w:val="24"/>
              </w:rPr>
              <w:t xml:space="preserve">й городской Думе заключения на </w:t>
            </w:r>
            <w:r w:rsidRPr="00733187">
              <w:rPr>
                <w:rFonts w:ascii="Times New Roman" w:hAnsi="Times New Roman"/>
                <w:sz w:val="24"/>
                <w:szCs w:val="24"/>
              </w:rPr>
              <w:t>годовой отчет об исполнении бюджета Осташковского городского округа.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733187" w:rsidRDefault="00733187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7">
              <w:rPr>
                <w:rFonts w:ascii="Times New Roman" w:hAnsi="Times New Roman"/>
                <w:sz w:val="24"/>
                <w:szCs w:val="24"/>
              </w:rPr>
              <w:t>01.04-01.05.202</w:t>
            </w:r>
            <w:r w:rsidR="00370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A34EC4" w:rsidRPr="00733187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187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733187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7E1533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86113" w:rsidRPr="006D29D1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86113" w:rsidRPr="006D29D1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Проведение экспертизы проекта решения Осташковской городской Думы «О бюджете Осташко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>вского городского округа на 202</w:t>
            </w:r>
            <w:r w:rsidR="00370316">
              <w:rPr>
                <w:rFonts w:ascii="Times New Roman" w:hAnsi="Times New Roman"/>
                <w:sz w:val="24"/>
                <w:szCs w:val="24"/>
              </w:rPr>
              <w:t>5</w:t>
            </w:r>
            <w:r w:rsidRPr="006D29D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202</w:t>
            </w:r>
            <w:r w:rsidR="00370316">
              <w:rPr>
                <w:rFonts w:ascii="Times New Roman" w:hAnsi="Times New Roman"/>
                <w:sz w:val="24"/>
                <w:szCs w:val="24"/>
              </w:rPr>
              <w:t>6</w:t>
            </w:r>
            <w:r w:rsidR="00CC3B75" w:rsidRPr="006D29D1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370316">
              <w:rPr>
                <w:rFonts w:ascii="Times New Roman" w:hAnsi="Times New Roman"/>
                <w:sz w:val="24"/>
                <w:szCs w:val="24"/>
              </w:rPr>
              <w:t>7</w:t>
            </w:r>
            <w:r w:rsidRPr="006D29D1">
              <w:rPr>
                <w:rFonts w:ascii="Times New Roman" w:hAnsi="Times New Roman"/>
                <w:sz w:val="24"/>
                <w:szCs w:val="24"/>
              </w:rPr>
              <w:t xml:space="preserve"> годов» и представление заключения</w:t>
            </w:r>
            <w:r w:rsidR="001B4463">
              <w:rPr>
                <w:rFonts w:ascii="Times New Roman" w:hAnsi="Times New Roman"/>
                <w:sz w:val="24"/>
                <w:szCs w:val="24"/>
              </w:rPr>
              <w:t xml:space="preserve">  Осташковской городской Думе, </w:t>
            </w:r>
            <w:r w:rsidRPr="006D29D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6D29D1">
              <w:rPr>
                <w:rFonts w:ascii="Times New Roman" w:hAnsi="Times New Roman"/>
                <w:sz w:val="24"/>
                <w:szCs w:val="24"/>
              </w:rPr>
              <w:lastRenderedPageBreak/>
              <w:t>Осташковского городского округа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13" w:rsidRPr="006D29D1" w:rsidRDefault="006D29D1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lastRenderedPageBreak/>
              <w:t>16.11 – 30.11.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113" w:rsidRPr="006D29D1" w:rsidRDefault="00C86113" w:rsidP="007E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9D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6D29D1" w:rsidTr="0075128B">
        <w:tc>
          <w:tcPr>
            <w:tcW w:w="5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6113" w:rsidRPr="009D763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6113" w:rsidRPr="009D7633" w:rsidRDefault="00CC3B75" w:rsidP="00DF6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Контроль своевременности и полноты исполнения представлений и предписаний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9D7633" w:rsidRDefault="00CC3B75" w:rsidP="00DF65B0">
            <w:pPr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6113" w:rsidRPr="009D7633" w:rsidRDefault="00C86113" w:rsidP="00A34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63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6D29D1" w:rsidTr="005A747D"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9D763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6D29D1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D76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 w:rsidRPr="009D7633">
              <w:rPr>
                <w:rFonts w:ascii="Times New Roman" w:hAnsi="Times New Roman"/>
                <w:b/>
                <w:sz w:val="24"/>
                <w:szCs w:val="24"/>
              </w:rPr>
              <w:t>Контрольно – аналитическая деятельность</w:t>
            </w:r>
          </w:p>
        </w:tc>
      </w:tr>
      <w:tr w:rsidR="00C86113" w:rsidRPr="006D29D1" w:rsidTr="007E1533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C86113" w:rsidRPr="00CC7A18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113" w:rsidRPr="00CC7A18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A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6113" w:rsidRPr="00CC7A18" w:rsidRDefault="00CC3B75" w:rsidP="007E15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A18">
              <w:rPr>
                <w:rFonts w:ascii="Times New Roman" w:hAnsi="Times New Roman"/>
                <w:sz w:val="24"/>
                <w:szCs w:val="24"/>
              </w:rPr>
              <w:t>Внешняя проверка бюджетной отчётности главных администраторов бюджетных средств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CC7A18" w:rsidRDefault="00CC7A18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A18">
              <w:rPr>
                <w:rFonts w:ascii="Times New Roman" w:hAnsi="Times New Roman"/>
                <w:sz w:val="24"/>
                <w:szCs w:val="24"/>
              </w:rPr>
              <w:t>01.03-01.04.202</w:t>
            </w:r>
            <w:r w:rsidR="003703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CC7A18" w:rsidRDefault="00C86113" w:rsidP="007E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A18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</w:tr>
      <w:tr w:rsidR="00C86113" w:rsidRPr="00E75D5B" w:rsidTr="007E1533"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C86113" w:rsidRPr="00E75D5B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6113" w:rsidRPr="00E75D5B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5B">
              <w:rPr>
                <w:rFonts w:ascii="Times New Roman" w:hAnsi="Times New Roman"/>
                <w:sz w:val="24"/>
                <w:szCs w:val="24"/>
              </w:rPr>
              <w:t xml:space="preserve">Контрольное мероприятие </w:t>
            </w:r>
            <w:r w:rsidR="007E1533">
              <w:rPr>
                <w:rFonts w:ascii="Times New Roman" w:hAnsi="Times New Roman"/>
                <w:sz w:val="24"/>
                <w:szCs w:val="24"/>
              </w:rPr>
              <w:t>«</w:t>
            </w:r>
            <w:r w:rsidR="007E1533" w:rsidRPr="007E1533">
              <w:rPr>
                <w:rFonts w:ascii="Times New Roman" w:hAnsi="Times New Roman"/>
                <w:sz w:val="24"/>
                <w:szCs w:val="24"/>
              </w:rPr>
              <w:t>Проверка финансово-хозяйственной деятельности МБОУ «Средняя общеобразовательная школа №1 им. академика Савина А. И.</w:t>
            </w:r>
            <w:r w:rsidR="007E1533">
              <w:rPr>
                <w:rFonts w:ascii="Times New Roman" w:hAnsi="Times New Roman"/>
                <w:sz w:val="24"/>
                <w:szCs w:val="24"/>
              </w:rPr>
              <w:t>»</w:t>
            </w:r>
            <w:r w:rsidR="007E1533" w:rsidRPr="007E153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B31179" w:rsidRPr="00E75D5B">
              <w:rPr>
                <w:rFonts w:ascii="Times New Roman" w:hAnsi="Times New Roman"/>
                <w:sz w:val="24"/>
                <w:szCs w:val="24"/>
              </w:rPr>
              <w:t>20</w:t>
            </w:r>
            <w:r w:rsidR="00607761" w:rsidRPr="00E75D5B">
              <w:rPr>
                <w:rFonts w:ascii="Times New Roman" w:hAnsi="Times New Roman"/>
                <w:sz w:val="24"/>
                <w:szCs w:val="24"/>
              </w:rPr>
              <w:t>2</w:t>
            </w:r>
            <w:r w:rsidR="007E1533">
              <w:rPr>
                <w:rFonts w:ascii="Times New Roman" w:hAnsi="Times New Roman"/>
                <w:sz w:val="24"/>
                <w:szCs w:val="24"/>
              </w:rPr>
              <w:t>3 год»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E75D5B" w:rsidRDefault="003415C2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01.09-01.10.2024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A34EC4" w:rsidRPr="00E75D5B" w:rsidRDefault="00C86113" w:rsidP="007E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D5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E75D5B" w:rsidRDefault="00C86113" w:rsidP="007E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7E1533">
        <w:trPr>
          <w:trHeight w:val="1735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hideMark/>
          </w:tcPr>
          <w:p w:rsidR="00C86113" w:rsidRPr="00BB7BEF" w:rsidRDefault="003415C2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6113" w:rsidRPr="00BB7BEF" w:rsidRDefault="00C86113" w:rsidP="007E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EF">
              <w:rPr>
                <w:rFonts w:ascii="Times New Roman" w:hAnsi="Times New Roman"/>
                <w:sz w:val="24"/>
                <w:szCs w:val="24"/>
              </w:rPr>
              <w:t>Обследования, относящиеся к компетенции Контрольно-счетной комиссии Осташковского городского округа</w:t>
            </w:r>
          </w:p>
          <w:p w:rsidR="00C86113" w:rsidRPr="00BB7BEF" w:rsidRDefault="00C86113" w:rsidP="007E1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C86113" w:rsidRPr="00BB7BEF" w:rsidRDefault="00C86113" w:rsidP="007E15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EF">
              <w:rPr>
                <w:rFonts w:ascii="Times New Roman" w:hAnsi="Times New Roman"/>
                <w:sz w:val="24"/>
                <w:szCs w:val="24"/>
              </w:rPr>
              <w:t xml:space="preserve">В течение года в соответствии с </w:t>
            </w:r>
            <w:r w:rsidR="00BB7BEF" w:rsidRPr="00BB7BEF">
              <w:rPr>
                <w:rFonts w:ascii="Times New Roman" w:hAnsi="Times New Roman"/>
                <w:sz w:val="24"/>
                <w:szCs w:val="24"/>
              </w:rPr>
              <w:t>приказами</w:t>
            </w:r>
            <w:r w:rsidRPr="00BB7BEF">
              <w:rPr>
                <w:rFonts w:ascii="Times New Roman" w:hAnsi="Times New Roman"/>
                <w:sz w:val="24"/>
                <w:szCs w:val="24"/>
              </w:rPr>
              <w:t xml:space="preserve"> Контрольно-счетной комиссии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A34EC4" w:rsidRPr="00BB7BEF" w:rsidRDefault="00C86113" w:rsidP="007E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BEF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BB7BEF" w:rsidRDefault="00C86113" w:rsidP="007E1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rPr>
          <w:trHeight w:val="676"/>
        </w:trPr>
        <w:tc>
          <w:tcPr>
            <w:tcW w:w="9575" w:type="dxa"/>
            <w:gridSpan w:val="6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bottom"/>
            <w:hideMark/>
          </w:tcPr>
          <w:p w:rsidR="00C86113" w:rsidRPr="00421114" w:rsidRDefault="00C86113" w:rsidP="005A74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421114">
              <w:rPr>
                <w:rFonts w:ascii="Times New Roman" w:hAnsi="Times New Roman"/>
                <w:b/>
                <w:sz w:val="24"/>
                <w:szCs w:val="24"/>
              </w:rPr>
              <w:t>. Организационно-методическая и информационная деятельность</w:t>
            </w:r>
          </w:p>
        </w:tc>
      </w:tr>
      <w:tr w:rsidR="00C86113" w:rsidRPr="006D29D1" w:rsidTr="005A747D">
        <w:trPr>
          <w:trHeight w:val="958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1A7E5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421114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Подготовка информации о результатах проведенных Контрольно-счетной комиссией Осташковского городского округа контрольных и экспертно-аналитических мероприятий для размещения ее на сайте в информационно-телекоммуникационной сети Интернет.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Pr="0042111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42111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1A7E5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421114" w:rsidRDefault="00C86113" w:rsidP="00BA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отдельных локальных нормативных правовых актов, регулирующих деятельность Контрольно-счетной комиссии Осташковского городского округа 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Pr="0042111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421114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1A7E53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1A7E53" w:rsidRDefault="00C86113" w:rsidP="00590C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</w:rPr>
              <w:t>Подготовка и представление Осташковской городской Думе отчёта о деятельности Кон</w:t>
            </w:r>
            <w:r w:rsidR="00B5672C" w:rsidRPr="001A7E53">
              <w:rPr>
                <w:rFonts w:ascii="Times New Roman" w:hAnsi="Times New Roman"/>
                <w:sz w:val="24"/>
                <w:szCs w:val="24"/>
              </w:rPr>
              <w:t>трольно-счетной комиссии за 20</w:t>
            </w:r>
            <w:r w:rsidR="007E1533">
              <w:rPr>
                <w:rFonts w:ascii="Times New Roman" w:hAnsi="Times New Roman"/>
                <w:sz w:val="24"/>
                <w:szCs w:val="24"/>
              </w:rPr>
              <w:t>23</w:t>
            </w:r>
            <w:r w:rsidRPr="001A7E53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1A7E53" w:rsidRDefault="00BA30A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86113" w:rsidRPr="001A7E5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Pr="001A7E53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E5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1A7E53" w:rsidRDefault="00C86113" w:rsidP="00A34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421114" w:rsidRDefault="00C86113" w:rsidP="007E1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 xml:space="preserve">Методологическое </w:t>
            </w:r>
            <w:bookmarkStart w:id="0" w:name="_GoBack"/>
            <w:bookmarkEnd w:id="0"/>
            <w:r w:rsidRPr="00421114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комиссии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6D29D1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6113" w:rsidRPr="00421114" w:rsidRDefault="00C86113" w:rsidP="00292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Взаимодействие с</w:t>
            </w:r>
            <w:r w:rsidR="00B5672C" w:rsidRPr="00421114">
              <w:rPr>
                <w:rFonts w:ascii="Times New Roman" w:hAnsi="Times New Roman"/>
                <w:sz w:val="24"/>
                <w:szCs w:val="24"/>
              </w:rPr>
              <w:t xml:space="preserve"> органами прокуратуры,</w:t>
            </w:r>
            <w:r w:rsidR="009A66AE" w:rsidRPr="00421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A2D" w:rsidRPr="00421114">
              <w:rPr>
                <w:rFonts w:ascii="Times New Roman" w:hAnsi="Times New Roman"/>
                <w:sz w:val="24"/>
                <w:szCs w:val="24"/>
              </w:rPr>
              <w:t>иными</w:t>
            </w:r>
            <w:r w:rsidR="009A66AE" w:rsidRPr="00421114">
              <w:rPr>
                <w:rFonts w:ascii="Times New Roman" w:hAnsi="Times New Roman"/>
                <w:sz w:val="24"/>
                <w:szCs w:val="24"/>
              </w:rPr>
              <w:t xml:space="preserve"> правоохранительными органами</w:t>
            </w:r>
            <w:r w:rsidRPr="00421114">
              <w:rPr>
                <w:rFonts w:ascii="Times New Roman" w:hAnsi="Times New Roman"/>
                <w:sz w:val="24"/>
                <w:szCs w:val="24"/>
              </w:rPr>
              <w:t>, органами государственного (муниципального) финансового контроля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A34EC4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113" w:rsidRPr="00A8254B" w:rsidTr="005A747D">
        <w:trPr>
          <w:trHeight w:val="820"/>
        </w:trPr>
        <w:tc>
          <w:tcPr>
            <w:tcW w:w="617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6113" w:rsidRPr="00421114" w:rsidRDefault="00C86113" w:rsidP="005A7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Участие в деятельности Совета контрольно-счетных органов при Контрольно-счетной палате Тверской области</w:t>
            </w:r>
          </w:p>
        </w:tc>
        <w:tc>
          <w:tcPr>
            <w:tcW w:w="1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34EC4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11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C86113" w:rsidRPr="00421114" w:rsidRDefault="00C86113" w:rsidP="005A7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7A5" w:rsidRDefault="007027A5"/>
    <w:sectPr w:rsidR="007027A5" w:rsidSect="007E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021E1"/>
    <w:multiLevelType w:val="hybridMultilevel"/>
    <w:tmpl w:val="14EC111C"/>
    <w:lvl w:ilvl="0" w:tplc="8624BD7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13"/>
    <w:rsid w:val="00001FF1"/>
    <w:rsid w:val="000C3AB7"/>
    <w:rsid w:val="001A7E53"/>
    <w:rsid w:val="001B00BF"/>
    <w:rsid w:val="001B4463"/>
    <w:rsid w:val="00217C02"/>
    <w:rsid w:val="0023467F"/>
    <w:rsid w:val="00252CD3"/>
    <w:rsid w:val="00292A2D"/>
    <w:rsid w:val="002D60F6"/>
    <w:rsid w:val="00310DB5"/>
    <w:rsid w:val="003415C2"/>
    <w:rsid w:val="00370316"/>
    <w:rsid w:val="003C1511"/>
    <w:rsid w:val="00421114"/>
    <w:rsid w:val="004E28EA"/>
    <w:rsid w:val="00590CE4"/>
    <w:rsid w:val="005E55DC"/>
    <w:rsid w:val="00607761"/>
    <w:rsid w:val="006D29D1"/>
    <w:rsid w:val="006E5617"/>
    <w:rsid w:val="007027A5"/>
    <w:rsid w:val="00710C2A"/>
    <w:rsid w:val="00733187"/>
    <w:rsid w:val="0075128B"/>
    <w:rsid w:val="007C0A9D"/>
    <w:rsid w:val="007E1533"/>
    <w:rsid w:val="00862083"/>
    <w:rsid w:val="00862316"/>
    <w:rsid w:val="0089429D"/>
    <w:rsid w:val="00896846"/>
    <w:rsid w:val="008A5A9C"/>
    <w:rsid w:val="00922A52"/>
    <w:rsid w:val="009A66AE"/>
    <w:rsid w:val="009D6E9E"/>
    <w:rsid w:val="009D7633"/>
    <w:rsid w:val="009F0FA0"/>
    <w:rsid w:val="00A11066"/>
    <w:rsid w:val="00A34EC4"/>
    <w:rsid w:val="00A860EC"/>
    <w:rsid w:val="00A95051"/>
    <w:rsid w:val="00AD164E"/>
    <w:rsid w:val="00B050E3"/>
    <w:rsid w:val="00B31179"/>
    <w:rsid w:val="00B5672C"/>
    <w:rsid w:val="00BA30A3"/>
    <w:rsid w:val="00BB7BEF"/>
    <w:rsid w:val="00C56F96"/>
    <w:rsid w:val="00C62E40"/>
    <w:rsid w:val="00C86113"/>
    <w:rsid w:val="00CC3B75"/>
    <w:rsid w:val="00CC7A18"/>
    <w:rsid w:val="00DF65B0"/>
    <w:rsid w:val="00E1685A"/>
    <w:rsid w:val="00E22BAE"/>
    <w:rsid w:val="00E745E4"/>
    <w:rsid w:val="00E75D5B"/>
    <w:rsid w:val="00E92BBC"/>
    <w:rsid w:val="00F17F67"/>
    <w:rsid w:val="00F278D2"/>
    <w:rsid w:val="00F37611"/>
    <w:rsid w:val="00F470A7"/>
    <w:rsid w:val="00F660DA"/>
    <w:rsid w:val="00F67E4C"/>
    <w:rsid w:val="00FA666C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A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Алена</cp:lastModifiedBy>
  <cp:revision>30</cp:revision>
  <cp:lastPrinted>2021-01-18T14:22:00Z</cp:lastPrinted>
  <dcterms:created xsi:type="dcterms:W3CDTF">2019-12-28T10:11:00Z</dcterms:created>
  <dcterms:modified xsi:type="dcterms:W3CDTF">2023-12-28T07:38:00Z</dcterms:modified>
</cp:coreProperties>
</file>