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13" w:rsidRPr="005D77FC" w:rsidRDefault="00C86113" w:rsidP="000C3AB7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«УТВЕРЖДЁ</w:t>
      </w:r>
      <w:r w:rsidRPr="005D77FC">
        <w:rPr>
          <w:rFonts w:ascii="Times New Roman" w:hAnsi="Times New Roman"/>
          <w:sz w:val="24"/>
          <w:szCs w:val="24"/>
        </w:rPr>
        <w:t>Н»</w:t>
      </w:r>
    </w:p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7FC">
        <w:rPr>
          <w:rFonts w:ascii="Times New Roman" w:hAnsi="Times New Roman"/>
          <w:sz w:val="24"/>
          <w:szCs w:val="24"/>
        </w:rPr>
        <w:t>распоряжением</w:t>
      </w:r>
    </w:p>
    <w:p w:rsidR="00C86113" w:rsidRPr="00A34EC4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</w:t>
      </w:r>
      <w:r w:rsidRPr="00A34EC4">
        <w:rPr>
          <w:rFonts w:ascii="Times New Roman" w:hAnsi="Times New Roman"/>
          <w:sz w:val="24"/>
          <w:szCs w:val="24"/>
        </w:rPr>
        <w:t>счетной комиссии</w:t>
      </w:r>
    </w:p>
    <w:p w:rsidR="00C86113" w:rsidRPr="00A34EC4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EC4">
        <w:rPr>
          <w:rFonts w:ascii="Times New Roman" w:hAnsi="Times New Roman"/>
          <w:sz w:val="24"/>
          <w:szCs w:val="24"/>
        </w:rPr>
        <w:t>Осташковского городского округа</w:t>
      </w:r>
    </w:p>
    <w:p w:rsidR="00E745E4" w:rsidRDefault="00C86113" w:rsidP="00C8611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34EC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>«</w:t>
      </w:r>
      <w:r w:rsidR="00A34EC4" w:rsidRPr="00A34EC4">
        <w:rPr>
          <w:rFonts w:ascii="Times New Roman" w:hAnsi="Times New Roman"/>
          <w:color w:val="000000"/>
          <w:sz w:val="24"/>
          <w:szCs w:val="24"/>
        </w:rPr>
        <w:t>18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4EC4" w:rsidRPr="00A34EC4">
        <w:rPr>
          <w:rFonts w:ascii="Times New Roman" w:hAnsi="Times New Roman"/>
          <w:color w:val="000000"/>
          <w:sz w:val="24"/>
          <w:szCs w:val="24"/>
        </w:rPr>
        <w:t>декабря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860EC" w:rsidRPr="00A34EC4">
        <w:rPr>
          <w:rFonts w:ascii="Times New Roman" w:hAnsi="Times New Roman"/>
          <w:color w:val="000000"/>
          <w:sz w:val="24"/>
          <w:szCs w:val="24"/>
        </w:rPr>
        <w:t>2</w:t>
      </w:r>
      <w:r w:rsidR="00A34EC4" w:rsidRPr="00A34EC4">
        <w:rPr>
          <w:rFonts w:ascii="Times New Roman" w:hAnsi="Times New Roman"/>
          <w:color w:val="000000"/>
          <w:sz w:val="24"/>
          <w:szCs w:val="24"/>
        </w:rPr>
        <w:t>0</w:t>
      </w:r>
      <w:r w:rsidRPr="00A34EC4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>0</w:t>
      </w:r>
      <w:r w:rsidR="00A34EC4" w:rsidRPr="00A34EC4">
        <w:rPr>
          <w:rFonts w:ascii="Times New Roman" w:hAnsi="Times New Roman"/>
          <w:color w:val="000000"/>
          <w:sz w:val="24"/>
          <w:szCs w:val="24"/>
        </w:rPr>
        <w:t>9</w:t>
      </w:r>
    </w:p>
    <w:p w:rsidR="00C86113" w:rsidRDefault="00C86113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60EC" w:rsidRPr="005D77FC" w:rsidRDefault="00A860EC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13" w:rsidRPr="00A152F5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F5">
        <w:rPr>
          <w:rFonts w:ascii="Times New Roman" w:hAnsi="Times New Roman"/>
          <w:b/>
          <w:sz w:val="28"/>
          <w:szCs w:val="28"/>
        </w:rPr>
        <w:t xml:space="preserve">План деятельности </w:t>
      </w:r>
    </w:p>
    <w:p w:rsidR="00C86113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комиссии Осташковского городского округа</w:t>
      </w:r>
    </w:p>
    <w:p w:rsidR="00C86113" w:rsidRPr="00A152F5" w:rsidRDefault="00CC3B75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A860EC">
        <w:rPr>
          <w:rFonts w:ascii="Times New Roman" w:hAnsi="Times New Roman"/>
          <w:b/>
          <w:sz w:val="28"/>
          <w:szCs w:val="28"/>
        </w:rPr>
        <w:t>1</w:t>
      </w:r>
      <w:r w:rsidR="00C86113" w:rsidRPr="00A152F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6113" w:rsidRPr="00A8254B" w:rsidRDefault="00C86113" w:rsidP="00C86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4878"/>
        <w:gridCol w:w="1855"/>
        <w:gridCol w:w="129"/>
        <w:gridCol w:w="2096"/>
      </w:tblGrid>
      <w:tr w:rsidR="00C86113" w:rsidRPr="00A8254B" w:rsidTr="005A747D">
        <w:trPr>
          <w:trHeight w:val="747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6113" w:rsidRPr="00A8254B" w:rsidTr="005A747D">
        <w:trPr>
          <w:trHeight w:val="559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Экспертно – аналитическая деятельность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по проектам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муниципальных правовых актов в части, касающейся расходных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, доходов и источников финансирования дефицита бюджета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а так же муниципальных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A34EC4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решение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="00CC3B75">
              <w:rPr>
                <w:rFonts w:ascii="Times New Roman" w:hAnsi="Times New Roman"/>
                <w:sz w:val="24"/>
                <w:szCs w:val="24"/>
              </w:rPr>
              <w:t xml:space="preserve"> на 2020 год и на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A34EC4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234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>Проведение оперативного контроля за исполнением б</w:t>
            </w:r>
            <w:r>
              <w:rPr>
                <w:rFonts w:ascii="Times New Roman" w:hAnsi="Times New Roman"/>
                <w:sz w:val="24"/>
                <w:szCs w:val="24"/>
              </w:rPr>
              <w:t>юджета 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представление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Думе, Администрации 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заключений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за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квартал,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первое полугод</w:t>
            </w:r>
            <w:r w:rsidR="00CC3B75">
              <w:rPr>
                <w:rFonts w:ascii="Times New Roman" w:hAnsi="Times New Roman"/>
                <w:sz w:val="24"/>
                <w:szCs w:val="24"/>
              </w:rPr>
              <w:t>ие и 9 месяцев 202</w:t>
            </w:r>
            <w:r w:rsidR="0023467F">
              <w:rPr>
                <w:rFonts w:ascii="Times New Roman" w:hAnsi="Times New Roman"/>
                <w:sz w:val="24"/>
                <w:szCs w:val="24"/>
              </w:rPr>
              <w:t>1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23467F">
              <w:rPr>
                <w:rFonts w:ascii="Times New Roman" w:hAnsi="Times New Roman"/>
                <w:sz w:val="24"/>
                <w:szCs w:val="24"/>
              </w:rPr>
              <w:t>20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Думе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годовой отчет об исполнении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FD0BA0" w:rsidRDefault="00C86113" w:rsidP="00DF6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>Проведение экспертизы проекта решения Осташковской городской Думы «О бюджете Осташко</w:t>
            </w:r>
            <w:r w:rsidR="00CC3B75" w:rsidRPr="00FD0BA0">
              <w:rPr>
                <w:rFonts w:ascii="Times New Roman" w:hAnsi="Times New Roman"/>
                <w:sz w:val="24"/>
                <w:szCs w:val="24"/>
              </w:rPr>
              <w:t>вского городского округа на 202</w:t>
            </w:r>
            <w:r w:rsidR="0023467F" w:rsidRPr="00FD0BA0">
              <w:rPr>
                <w:rFonts w:ascii="Times New Roman" w:hAnsi="Times New Roman"/>
                <w:sz w:val="24"/>
                <w:szCs w:val="24"/>
              </w:rPr>
              <w:t>2</w:t>
            </w:r>
            <w:r w:rsidRPr="00FD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BA0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="00CC3B75" w:rsidRPr="00FD0BA0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23467F" w:rsidRPr="00FD0BA0">
              <w:rPr>
                <w:rFonts w:ascii="Times New Roman" w:hAnsi="Times New Roman"/>
                <w:sz w:val="24"/>
                <w:szCs w:val="24"/>
              </w:rPr>
              <w:t>3</w:t>
            </w:r>
            <w:r w:rsidR="00CC3B75" w:rsidRPr="00FD0BA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23467F" w:rsidRPr="00FD0BA0">
              <w:rPr>
                <w:rFonts w:ascii="Times New Roman" w:hAnsi="Times New Roman"/>
                <w:sz w:val="24"/>
                <w:szCs w:val="24"/>
              </w:rPr>
              <w:t>4</w:t>
            </w:r>
            <w:r w:rsidRPr="00FD0BA0">
              <w:rPr>
                <w:rFonts w:ascii="Times New Roman" w:hAnsi="Times New Roman"/>
                <w:sz w:val="24"/>
                <w:szCs w:val="24"/>
              </w:rPr>
              <w:t xml:space="preserve"> годов» и представление заключения  Осташковской городской Думе,  Администрации 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C86113" w:rsidRPr="00A8254B" w:rsidTr="0075128B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6113" w:rsidRPr="00DF65B0" w:rsidRDefault="00CC3B75" w:rsidP="00DF6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B0">
              <w:rPr>
                <w:rFonts w:ascii="Times New Roman" w:hAnsi="Times New Roman"/>
                <w:sz w:val="24"/>
                <w:szCs w:val="24"/>
              </w:rPr>
              <w:t>Контроль своевременности и полноты исполнения представлений и предписаний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DF65B0" w:rsidRDefault="00CC3B75" w:rsidP="00DF65B0">
            <w:pPr>
              <w:rPr>
                <w:rFonts w:ascii="Times New Roman" w:hAnsi="Times New Roman"/>
                <w:sz w:val="24"/>
                <w:szCs w:val="24"/>
              </w:rPr>
            </w:pPr>
            <w:r w:rsidRPr="00DF65B0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F05E48" w:rsidRDefault="00C86113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862316" w:rsidRPr="00A8254B" w:rsidTr="0075128B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62316" w:rsidRDefault="00862316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2316" w:rsidRPr="00DF65B0" w:rsidRDefault="00862316" w:rsidP="00DF6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B0">
              <w:rPr>
                <w:rFonts w:ascii="Times New Roman" w:hAnsi="Times New Roman"/>
                <w:sz w:val="24"/>
                <w:szCs w:val="24"/>
              </w:rPr>
              <w:t>Анализ исполнения Прогнозного плана (программы) приватизации муниципального имущества Осташковского городского округа за 20</w:t>
            </w:r>
            <w:r w:rsidR="00607761" w:rsidRPr="00DF65B0">
              <w:rPr>
                <w:rFonts w:ascii="Times New Roman" w:hAnsi="Times New Roman"/>
                <w:sz w:val="24"/>
                <w:szCs w:val="24"/>
              </w:rPr>
              <w:t>20</w:t>
            </w:r>
            <w:r w:rsidRPr="00DF65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16" w:rsidRPr="00F05E48" w:rsidRDefault="0023467F" w:rsidP="0023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62316"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16" w:rsidRPr="00F05E48" w:rsidRDefault="00A34EC4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D0BA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FD0BA0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 w:rsidRPr="00FD0BA0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деятельность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D0BA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FD0BA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D0BA0" w:rsidRDefault="00CC3B75" w:rsidP="005A74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>Внешняя проверка бюджетной отчётности главных администраторов бюджетных средств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C3B75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86113"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D0BA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D0BA0" w:rsidRDefault="00C86113" w:rsidP="00607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по проверке законности и результативности (эффективности и экономности) </w:t>
            </w:r>
            <w:r w:rsidR="00B31179" w:rsidRPr="00FD0BA0">
              <w:rPr>
                <w:rFonts w:ascii="Times New Roman" w:hAnsi="Times New Roman"/>
                <w:sz w:val="24"/>
                <w:szCs w:val="24"/>
              </w:rPr>
              <w:t>использования бюджетных средств, выделенных на реализацию мероприятий подпрограммы «Формирование современной городской среды в Осташковском городском округе на 2018-2022 годы» муниципальной программы «Содержание и благоустройство территории Осташковского городского округа на 2018-2023 годы» за 20</w:t>
            </w:r>
            <w:r w:rsidR="00607761" w:rsidRPr="00FD0BA0">
              <w:rPr>
                <w:rFonts w:ascii="Times New Roman" w:hAnsi="Times New Roman"/>
                <w:sz w:val="24"/>
                <w:szCs w:val="24"/>
              </w:rPr>
              <w:t>20</w:t>
            </w:r>
            <w:r w:rsidR="00B31179" w:rsidRPr="00FD0BA0">
              <w:rPr>
                <w:rFonts w:ascii="Times New Roman" w:hAnsi="Times New Roman"/>
                <w:sz w:val="24"/>
                <w:szCs w:val="24"/>
              </w:rPr>
              <w:t xml:space="preserve"> год и истекший период 202</w:t>
            </w:r>
            <w:r w:rsidR="00607761" w:rsidRPr="00FD0BA0">
              <w:rPr>
                <w:rFonts w:ascii="Times New Roman" w:hAnsi="Times New Roman"/>
                <w:sz w:val="24"/>
                <w:szCs w:val="24"/>
              </w:rPr>
              <w:t>1</w:t>
            </w:r>
            <w:r w:rsidR="00B31179" w:rsidRPr="00FD0B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62E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001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1F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001FF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4E" w:rsidRPr="00FD0BA0" w:rsidRDefault="00F470A7" w:rsidP="00607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>Контрольное мероприятие по проверке законности и результативности (эффективности и экономности) использования бюджетных средств, выделенных на реализацию мероприятий муниципальной программы «Развитие туристической отрасли в Осташковском городском округе на 2018-2023 годы» за 20</w:t>
            </w:r>
            <w:r w:rsidR="00607761" w:rsidRPr="00FD0BA0">
              <w:rPr>
                <w:rFonts w:ascii="Times New Roman" w:hAnsi="Times New Roman"/>
                <w:sz w:val="24"/>
                <w:szCs w:val="24"/>
              </w:rPr>
              <w:t>20</w:t>
            </w:r>
            <w:r w:rsidRPr="00FD0B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0B17D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Default="00A34EC4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A0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F0FA0" w:rsidRDefault="008A5A9C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FA0" w:rsidRPr="00FD0BA0" w:rsidRDefault="00E1685A" w:rsidP="006077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>Контрольное мероприятие по проверке законности и результативности использования  средств субвенции, выделенных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</w:t>
            </w:r>
            <w:r w:rsidR="00607761" w:rsidRPr="00FD0BA0">
              <w:rPr>
                <w:rFonts w:ascii="Times New Roman" w:hAnsi="Times New Roman"/>
                <w:sz w:val="24"/>
                <w:szCs w:val="24"/>
              </w:rPr>
              <w:t>рованных жилых помещений за 2020</w:t>
            </w:r>
            <w:r w:rsidRPr="00FD0BA0">
              <w:rPr>
                <w:rFonts w:ascii="Times New Roman" w:hAnsi="Times New Roman"/>
                <w:sz w:val="24"/>
                <w:szCs w:val="24"/>
              </w:rPr>
              <w:t xml:space="preserve"> год и первое полугодие 202</w:t>
            </w:r>
            <w:r w:rsidR="00607761" w:rsidRPr="00FD0BA0">
              <w:rPr>
                <w:rFonts w:ascii="Times New Roman" w:hAnsi="Times New Roman"/>
                <w:sz w:val="24"/>
                <w:szCs w:val="24"/>
              </w:rPr>
              <w:t>1</w:t>
            </w:r>
            <w:r w:rsidRPr="00FD0B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F0FA0" w:rsidRPr="009F0FA0" w:rsidRDefault="00E1685A" w:rsidP="00FD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D0BA0" w:rsidRPr="00F67E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67E4C" w:rsidRPr="00F67E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E4C" w:rsidRPr="00F67E4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D0BA0" w:rsidRPr="00F67E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7E4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F0FA0" w:rsidRPr="00F05E48" w:rsidRDefault="00A34EC4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B31179">
        <w:trPr>
          <w:trHeight w:val="2401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8A5A9C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Обследования, относящиеся к компетенции Контрольно-счетной комиссии Осташковского городского округа</w:t>
            </w:r>
          </w:p>
          <w:p w:rsidR="00C86113" w:rsidRPr="009836C8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B3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в соответствии с распоряжением Контрольно-счетной комиссии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676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450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Организационно-методическая и информационная </w:t>
            </w:r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C86113" w:rsidRPr="00A8254B" w:rsidTr="005A747D">
        <w:trPr>
          <w:trHeight w:val="958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результатах проведенных Контрольно-счетной комиссией Осташковского городского округа контрольных и экспертно-аналитических мероприятий для размещения ее на сайте в информационно-телекоммуникационной сети Интернет.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отдельных локальных нормативных правовых актов, регулирующих деятельность Контрольно-счетной комиссии Осташковского городского округа по вопросам, не определенным Регламентом Контрольно-счетной комиссии Осташковского городского округа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90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Осташковской городской Думе отчёта о деятельности Кон</w:t>
            </w:r>
            <w:r w:rsidR="00B5672C">
              <w:rPr>
                <w:rFonts w:ascii="Times New Roman" w:hAnsi="Times New Roman"/>
                <w:sz w:val="24"/>
                <w:szCs w:val="24"/>
              </w:rPr>
              <w:t>трольно-счетной комиссии за 20</w:t>
            </w:r>
            <w:r w:rsidR="00590CE4" w:rsidRPr="00590C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Методологическое обеспечение </w:t>
            </w:r>
          </w:p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29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B5672C">
              <w:rPr>
                <w:rFonts w:ascii="Times New Roman" w:hAnsi="Times New Roman"/>
                <w:sz w:val="24"/>
                <w:szCs w:val="24"/>
              </w:rPr>
              <w:t xml:space="preserve"> органами прокуратуры,</w:t>
            </w:r>
            <w:r w:rsidR="009A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A2D">
              <w:rPr>
                <w:rFonts w:ascii="Times New Roman" w:hAnsi="Times New Roman"/>
                <w:sz w:val="24"/>
                <w:szCs w:val="24"/>
              </w:rPr>
              <w:t>иными</w:t>
            </w:r>
            <w:r w:rsidR="009A66AE">
              <w:rPr>
                <w:rFonts w:ascii="Times New Roman" w:hAnsi="Times New Roman"/>
                <w:sz w:val="24"/>
                <w:szCs w:val="24"/>
              </w:rPr>
              <w:t xml:space="preserve"> правоохранительными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>, органами государственного (муниципального) финансового контроля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7A5" w:rsidRDefault="007027A5"/>
    <w:sectPr w:rsidR="0070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021E1"/>
    <w:multiLevelType w:val="hybridMultilevel"/>
    <w:tmpl w:val="14EC111C"/>
    <w:lvl w:ilvl="0" w:tplc="8624BD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13"/>
    <w:rsid w:val="00001FF1"/>
    <w:rsid w:val="000C3AB7"/>
    <w:rsid w:val="001B00BF"/>
    <w:rsid w:val="00217C02"/>
    <w:rsid w:val="0023467F"/>
    <w:rsid w:val="00292A2D"/>
    <w:rsid w:val="002D60F6"/>
    <w:rsid w:val="003C1511"/>
    <w:rsid w:val="004E28EA"/>
    <w:rsid w:val="00590CE4"/>
    <w:rsid w:val="005E55DC"/>
    <w:rsid w:val="00607761"/>
    <w:rsid w:val="007027A5"/>
    <w:rsid w:val="00710C2A"/>
    <w:rsid w:val="0075128B"/>
    <w:rsid w:val="00862316"/>
    <w:rsid w:val="00896846"/>
    <w:rsid w:val="008A5A9C"/>
    <w:rsid w:val="009A66AE"/>
    <w:rsid w:val="009D6E9E"/>
    <w:rsid w:val="009F0FA0"/>
    <w:rsid w:val="009F66FE"/>
    <w:rsid w:val="00A11066"/>
    <w:rsid w:val="00A34EC4"/>
    <w:rsid w:val="00A860EC"/>
    <w:rsid w:val="00AD164E"/>
    <w:rsid w:val="00B050E3"/>
    <w:rsid w:val="00B31179"/>
    <w:rsid w:val="00B5672C"/>
    <w:rsid w:val="00C56F96"/>
    <w:rsid w:val="00C62E40"/>
    <w:rsid w:val="00C86113"/>
    <w:rsid w:val="00CC3B75"/>
    <w:rsid w:val="00DF65B0"/>
    <w:rsid w:val="00E1685A"/>
    <w:rsid w:val="00E22BAE"/>
    <w:rsid w:val="00E745E4"/>
    <w:rsid w:val="00E92BBC"/>
    <w:rsid w:val="00F17F67"/>
    <w:rsid w:val="00F37611"/>
    <w:rsid w:val="00F470A7"/>
    <w:rsid w:val="00F67E4C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01B0E-6F2B-45A0-A01F-BA04973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2</cp:revision>
  <cp:lastPrinted>2021-01-18T14:22:00Z</cp:lastPrinted>
  <dcterms:created xsi:type="dcterms:W3CDTF">2021-02-08T06:38:00Z</dcterms:created>
  <dcterms:modified xsi:type="dcterms:W3CDTF">2021-02-08T06:38:00Z</dcterms:modified>
</cp:coreProperties>
</file>