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F8" w:rsidRPr="00D02627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D02627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>
        <w:rPr>
          <w:rFonts w:ascii="Times New Roman" w:hAnsi="Times New Roman" w:cs="Times New Roman"/>
          <w:sz w:val="28"/>
          <w:szCs w:val="28"/>
        </w:rPr>
        <w:t>А</w:t>
      </w:r>
      <w:r w:rsidR="006D6A2A">
        <w:rPr>
          <w:rFonts w:ascii="Times New Roman" w:hAnsi="Times New Roman" w:cs="Times New Roman"/>
          <w:sz w:val="28"/>
          <w:szCs w:val="28"/>
        </w:rPr>
        <w:t>дминистрации</w:t>
      </w:r>
      <w:r w:rsidR="0036616E">
        <w:rPr>
          <w:rFonts w:ascii="Times New Roman" w:hAnsi="Times New Roman" w:cs="Times New Roman"/>
          <w:sz w:val="28"/>
          <w:szCs w:val="28"/>
        </w:rPr>
        <w:br/>
      </w:r>
      <w:r w:rsidR="00E55199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D02627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от</w:t>
      </w:r>
      <w:r w:rsidR="00F34C41">
        <w:rPr>
          <w:rFonts w:ascii="Times New Roman" w:hAnsi="Times New Roman" w:cs="Times New Roman"/>
          <w:sz w:val="28"/>
          <w:szCs w:val="28"/>
        </w:rPr>
        <w:t xml:space="preserve">    31.  01. 2019      </w:t>
      </w:r>
      <w:r w:rsidRPr="00D02627">
        <w:rPr>
          <w:rFonts w:ascii="Times New Roman" w:hAnsi="Times New Roman" w:cs="Times New Roman"/>
          <w:sz w:val="28"/>
          <w:szCs w:val="28"/>
        </w:rPr>
        <w:t xml:space="preserve">№ </w:t>
      </w:r>
      <w:r w:rsidR="00F34C41"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9539F8" w:rsidRPr="00D02627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Осташковск</w:t>
      </w:r>
      <w:r w:rsidR="00A07479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>
        <w:rPr>
          <w:rFonts w:ascii="Times New Roman" w:hAnsi="Times New Roman" w:cs="Times New Roman"/>
          <w:sz w:val="28"/>
          <w:szCs w:val="28"/>
        </w:rPr>
        <w:t>городско</w:t>
      </w:r>
      <w:r w:rsidR="00A07479">
        <w:rPr>
          <w:rFonts w:ascii="Times New Roman" w:hAnsi="Times New Roman" w:cs="Times New Roman"/>
          <w:sz w:val="28"/>
          <w:szCs w:val="28"/>
        </w:rPr>
        <w:t>го</w:t>
      </w:r>
      <w:r w:rsidR="003661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D02627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8C03C9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C9">
        <w:rPr>
          <w:rFonts w:ascii="Times New Roman" w:hAnsi="Times New Roman" w:cs="Times New Roman"/>
          <w:b/>
          <w:sz w:val="28"/>
          <w:szCs w:val="28"/>
        </w:rPr>
        <w:t>«</w:t>
      </w:r>
      <w:r w:rsidR="0036616E">
        <w:rPr>
          <w:rFonts w:ascii="Times New Roman" w:hAnsi="Times New Roman" w:cs="Times New Roman"/>
          <w:b/>
          <w:sz w:val="28"/>
          <w:szCs w:val="28"/>
        </w:rPr>
        <w:t>Р</w:t>
      </w:r>
      <w:r w:rsidRPr="008C03C9">
        <w:rPr>
          <w:rFonts w:ascii="Times New Roman" w:hAnsi="Times New Roman" w:cs="Times New Roman"/>
          <w:b/>
          <w:sz w:val="28"/>
          <w:szCs w:val="28"/>
        </w:rPr>
        <w:t>азвитие туристической отрасли</w:t>
      </w:r>
    </w:p>
    <w:p w:rsidR="009539F8" w:rsidRPr="008C03C9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C9">
        <w:rPr>
          <w:rFonts w:ascii="Times New Roman" w:hAnsi="Times New Roman" w:cs="Times New Roman"/>
          <w:b/>
          <w:sz w:val="28"/>
          <w:szCs w:val="28"/>
        </w:rPr>
        <w:t>на 201</w:t>
      </w:r>
      <w:r w:rsidR="0036616E">
        <w:rPr>
          <w:rFonts w:ascii="Times New Roman" w:hAnsi="Times New Roman" w:cs="Times New Roman"/>
          <w:b/>
          <w:sz w:val="28"/>
          <w:szCs w:val="28"/>
        </w:rPr>
        <w:t>8</w:t>
      </w:r>
      <w:r w:rsidRPr="008C03C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6616E">
        <w:rPr>
          <w:rFonts w:ascii="Times New Roman" w:hAnsi="Times New Roman" w:cs="Times New Roman"/>
          <w:b/>
          <w:sz w:val="28"/>
          <w:szCs w:val="28"/>
        </w:rPr>
        <w:t>23</w:t>
      </w:r>
      <w:r w:rsidRPr="008C03C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8C03C9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D02627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201</w:t>
      </w:r>
      <w:r w:rsidR="00E55199">
        <w:rPr>
          <w:rFonts w:ascii="Times New Roman" w:hAnsi="Times New Roman" w:cs="Times New Roman"/>
          <w:sz w:val="28"/>
          <w:szCs w:val="28"/>
        </w:rPr>
        <w:t>8</w:t>
      </w:r>
      <w:r w:rsidR="008C03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E55199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539F8" w:rsidRPr="00D02627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«Развитие туристической отрасли на 2018-2023 годы»</w:t>
      </w:r>
      <w:r w:rsidR="003661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9539F8" w:rsidRPr="00D02627">
        <w:rPr>
          <w:rFonts w:ascii="Times New Roman" w:hAnsi="Times New Roman" w:cs="Times New Roman"/>
          <w:sz w:val="28"/>
          <w:szCs w:val="28"/>
        </w:rPr>
        <w:t>Тверской области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6"/>
        <w:gridCol w:w="6034"/>
      </w:tblGrid>
      <w:tr w:rsidR="009539F8" w:rsidRPr="00D02627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9539F8" w:rsidP="00E551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«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азвитие туристической отрасли на 201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551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9539F8" w:rsidRPr="00D02627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39F8" w:rsidRPr="00D02627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851A6E" w:rsidP="00E5519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молодежи и туризма </w:t>
            </w:r>
            <w:r w:rsidR="00E551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539F8" w:rsidRPr="00D02627" w:rsidTr="007E7586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D02627" w:rsidRDefault="009539F8" w:rsidP="0036616E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39F8" w:rsidRPr="00D02627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36616E" w:rsidRDefault="001E1CE6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CE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туристических услуг на  территории </w:t>
            </w:r>
            <w:r w:rsidR="00916B96">
              <w:rPr>
                <w:rFonts w:ascii="Times New Roman" w:hAnsi="Times New Roman" w:cs="Times New Roman"/>
                <w:sz w:val="28"/>
                <w:szCs w:val="28"/>
              </w:rPr>
              <w:t>Осташковск</w:t>
            </w:r>
            <w:r w:rsidR="00851A6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16B9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851A6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6B96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51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539F8" w:rsidRPr="00D02627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D02627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9539F8" w:rsidRPr="00D02627" w:rsidRDefault="009539F8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627" w:rsidRPr="0036616E" w:rsidRDefault="00851A6E" w:rsidP="00851A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bookmarkStart w:id="1" w:name="_GoBack1"/>
            <w:bookmarkEnd w:id="1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="009539F8" w:rsidRPr="001229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величение </w:t>
            </w:r>
            <w:r w:rsidR="0012293F" w:rsidRPr="001229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количества  объектов рекреации привлекаемых к участию в мероприятиях направленных на развитие туризма на территории </w:t>
            </w:r>
            <w:r w:rsidR="0036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городского округа</w:t>
            </w:r>
            <w:r w:rsidR="0012293F" w:rsidRPr="0012293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до</w:t>
            </w:r>
            <w:r w:rsidR="0036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  <w:r w:rsidR="0036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9539F8" w:rsidRPr="00D02627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по годам ее реализации </w:t>
            </w:r>
          </w:p>
          <w:p w:rsidR="007E6B85" w:rsidRDefault="007E6B85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85" w:rsidRDefault="007E6B85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B85" w:rsidRPr="00D02627" w:rsidRDefault="007E6B85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EF683C" w:rsidRDefault="009539F8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муниципальной  программы на 201</w:t>
            </w:r>
            <w:r w:rsidR="0036616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D02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 w:rsidR="0015778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6616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D026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  <w:r w:rsidRPr="00D0262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2038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921</w:t>
            </w:r>
            <w:r w:rsidR="00021F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435</w:t>
            </w:r>
            <w:r w:rsidR="0085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="00EF6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472DE5" w:rsidRDefault="00472DE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51A6E" w:rsidRDefault="00662C09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 </w:t>
            </w:r>
            <w:r w:rsidR="00021F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175410</w:t>
            </w:r>
            <w:r w:rsidR="00916B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,00 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руб., </w:t>
            </w:r>
            <w:r w:rsidR="00851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62C09" w:rsidRPr="00D02627" w:rsidRDefault="00851A6E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счет средств местного бюджета - 89 205,00, за счет средств регионального бюджета – </w:t>
            </w:r>
            <w:r w:rsidR="00021F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86 205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 руб.</w:t>
            </w:r>
          </w:p>
          <w:p w:rsidR="009539F8" w:rsidRPr="00D02627" w:rsidRDefault="009539F8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39F8" w:rsidRPr="00D02627" w:rsidRDefault="009539F8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</w:t>
            </w:r>
            <w:r w:rsidR="007E6B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038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51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89 205,00 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руб.,</w:t>
            </w:r>
          </w:p>
          <w:p w:rsidR="00851A6E" w:rsidRPr="00D02627" w:rsidRDefault="00851A6E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счет средств местного бюджета - </w:t>
            </w:r>
            <w:r w:rsidR="002038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89 205,00, за счет средств регионального бюджета – 0,00 руб.</w:t>
            </w:r>
          </w:p>
          <w:p w:rsidR="00851A6E" w:rsidRDefault="00851A6E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539F8" w:rsidRPr="00D02627" w:rsidRDefault="009539F8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</w:t>
            </w:r>
            <w:r w:rsid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51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89 205,00  </w:t>
            </w:r>
            <w:r w:rsid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руб.,</w:t>
            </w:r>
          </w:p>
          <w:p w:rsidR="00851A6E" w:rsidRPr="00D02627" w:rsidRDefault="00851A6E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средств местного бюджета - 89 205,00, за счет средств регионального бюджета – 0,00 руб.</w:t>
            </w:r>
          </w:p>
          <w:p w:rsidR="009539F8" w:rsidRPr="00D02627" w:rsidRDefault="009539F8" w:rsidP="00D0262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72DE5" w:rsidRPr="00472DE5" w:rsidRDefault="009A1BA7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</w:t>
            </w:r>
            <w:r w:rsid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51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89 205,00  </w:t>
            </w:r>
            <w:r w:rsidR="00472DE5" w:rsidRP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руб.,</w:t>
            </w:r>
          </w:p>
          <w:p w:rsidR="00851A6E" w:rsidRPr="00D02627" w:rsidRDefault="00851A6E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средств местного бюджета - 89 205,00, за счет средств регионального бюджета – 0,00 руб.</w:t>
            </w:r>
          </w:p>
          <w:p w:rsidR="009539F8" w:rsidRDefault="009539F8" w:rsidP="00AF2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5" w:rsidRPr="00472DE5" w:rsidRDefault="009A1BA7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Pr="00D026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</w:t>
            </w:r>
            <w:r w:rsid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851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89 205,00  </w:t>
            </w:r>
            <w:r w:rsidR="00472DE5" w:rsidRPr="00472D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руб.,</w:t>
            </w:r>
          </w:p>
          <w:p w:rsidR="00851A6E" w:rsidRPr="00D02627" w:rsidRDefault="00851A6E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 счет средств местного бюджета - 89 205,00, за счет средств регионального бюджета – 0,00 руб.</w:t>
            </w:r>
          </w:p>
          <w:p w:rsidR="009A1BA7" w:rsidRDefault="009A1BA7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DE5" w:rsidRPr="00472DE5" w:rsidRDefault="00472DE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="00916B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A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89 205,00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  <w:p w:rsidR="00851A6E" w:rsidRPr="00D02627" w:rsidRDefault="00851A6E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счет средств местного бюджета - 89 205,00, за счет средств регионального бюджета – 0,00 руб.</w:t>
            </w:r>
          </w:p>
          <w:p w:rsidR="00472DE5" w:rsidRPr="00D02627" w:rsidRDefault="00472DE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9F8" w:rsidRPr="00D02627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B96" w:rsidRPr="00E55199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6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51A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5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E55199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6E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851A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D37D4B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4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>
        <w:rPr>
          <w:rFonts w:ascii="Times New Roman" w:hAnsi="Times New Roman" w:cs="Times New Roman"/>
          <w:b/>
          <w:sz w:val="28"/>
          <w:szCs w:val="28"/>
        </w:rPr>
        <w:br/>
      </w:r>
      <w:r w:rsidRPr="00D37D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591530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E55199" w:rsidRDefault="00E55199" w:rsidP="00E55199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и вся Тверская область Осташковский </w:t>
      </w:r>
      <w:r w:rsidR="00472DE5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городской округ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географически удачно расположен между Санкт – Петербургом и Москвой, сохранив эстетическую и </w:t>
      </w:r>
      <w:r w:rsidR="00472DE5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туристическую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привлекательность природы Верхневолжья, озера Селигер. Муни</w:t>
      </w:r>
      <w:r w:rsidR="00472DE5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ципальная программа «Р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азвитие туристической отрасли в Осташковск</w:t>
      </w:r>
      <w:r w:rsidR="00916B96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ом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2DE5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городско</w:t>
      </w:r>
      <w:r w:rsidR="00916B96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472DE5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округ</w:t>
      </w:r>
      <w:r w:rsidR="00916B96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201</w:t>
      </w:r>
      <w:r w:rsidR="00916B96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157786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916B96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23 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годы» (далее - Программа) направлена на создание правовой, организационной и экономической среды, способствующей формированию современной туристической индустрии в Осташковск</w:t>
      </w:r>
      <w:r w:rsidR="00916B96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ом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2DE5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городско</w:t>
      </w:r>
      <w:r w:rsidR="00916B96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472DE5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округ</w:t>
      </w:r>
      <w:r w:rsidR="00916B96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потока туристов </w:t>
      </w:r>
      <w:r w:rsidR="009539F8" w:rsidRPr="00E55199">
        <w:rPr>
          <w:rFonts w:ascii="Times New Roman" w:hAnsi="Times New Roman" w:cs="Times New Roman"/>
          <w:sz w:val="28"/>
          <w:szCs w:val="28"/>
        </w:rPr>
        <w:t xml:space="preserve">(спроса на туристические услуги) и развитию материальной базы туризма. </w:t>
      </w:r>
      <w:r w:rsidR="009539F8" w:rsidRPr="00E551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Туризм является сложным межотраслевым комплексом, требующим </w:t>
      </w:r>
      <w:r w:rsidR="009539F8" w:rsidRPr="00E5519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системного подхода к регулированию социально-экономического </w:t>
      </w:r>
      <w:r w:rsidR="009539F8" w:rsidRPr="00E5519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взаимодействия многих отраслей хозяйства на государственном, </w:t>
      </w:r>
      <w:r w:rsidR="009539F8" w:rsidRPr="00E5519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и местном  уровнях. </w:t>
      </w:r>
    </w:p>
    <w:p w:rsidR="009539F8" w:rsidRPr="00D02627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Развитие туризма оказывает стимулирующее воздействие на такие секторы экономики, как информатизация и телекоммуникации, торговля, строительство, сельское хозяйство, производство товаров народного потребления. </w:t>
      </w:r>
    </w:p>
    <w:p w:rsidR="009539F8" w:rsidRPr="00D02627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Осташковский </w:t>
      </w:r>
      <w:r w:rsidR="00472DE5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городской округ</w:t>
      </w:r>
      <w:r w:rsidR="00916B9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262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обладает большим историко-культурным и природно-рекреационным потенциалом, составляющим основу туристских ресурсов местности. Это, прежде всего, уникальное природное, историческое и культурное </w:t>
      </w:r>
      <w:r w:rsidRPr="00D0262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наследие.</w:t>
      </w:r>
    </w:p>
    <w:p w:rsidR="009539F8" w:rsidRPr="00D02627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D0262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Территория Осташковского </w:t>
      </w:r>
      <w:r w:rsidR="00472DE5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городского округа</w:t>
      </w:r>
      <w:r w:rsidRPr="00D02627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 xml:space="preserve"> входит в границы уникального комплекса, расположенного на Валдайской возвышенности на берегах озера Селигер, у истоков рек Волги и Западной Двины. 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территории района расположены 576 исторических и археологических памятников начиная с эпохи палеолита и заканчивается 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XIX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веком, 87 памятников архитектуры федерального значения. Наличие таких объектов как озеро Селигер, Исток Волги, монастырь Нилова Пустынь. Уникальная историко-архитектурная застройка. Обилие памятников 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истории и культуры. Близость к Москве и Санкт-Петербургу, являющимся крупнейшими источниками туристических потоков. </w:t>
      </w:r>
    </w:p>
    <w:p w:rsidR="009539F8" w:rsidRPr="00D02627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Развитие туризма в Осташковском </w:t>
      </w:r>
      <w:r w:rsidR="00472DE5">
        <w:rPr>
          <w:rFonts w:ascii="Times New Roman" w:hAnsi="Times New Roman" w:cs="Times New Roman"/>
          <w:color w:val="000000"/>
          <w:spacing w:val="8"/>
          <w:sz w:val="28"/>
          <w:szCs w:val="28"/>
        </w:rPr>
        <w:t>городском округе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на основе исторических, архитектурных, культурных, религиозных и природных достопримечательностей является потенциальным источником доходов для </w:t>
      </w:r>
      <w:r w:rsidR="00472DE5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округа 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 может существенно улучшить его репутацию. Развитие туризма может инициировать экономическое развитие </w:t>
      </w:r>
      <w:r w:rsidR="00472DE5">
        <w:rPr>
          <w:rFonts w:ascii="Times New Roman" w:hAnsi="Times New Roman" w:cs="Times New Roman"/>
          <w:color w:val="000000"/>
          <w:spacing w:val="8"/>
          <w:sz w:val="28"/>
          <w:szCs w:val="28"/>
        </w:rPr>
        <w:t>округа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 Проведение фестивалей, ярмарок, конференций и спортивных мероприятий. Продвижение района и привлечение городов-партнёров, расширение сотрудничества Осташковского </w:t>
      </w:r>
      <w:r w:rsidR="00472DE5">
        <w:rPr>
          <w:rFonts w:ascii="Times New Roman" w:hAnsi="Times New Roman" w:cs="Times New Roman"/>
          <w:color w:val="000000"/>
          <w:spacing w:val="8"/>
          <w:sz w:val="28"/>
          <w:szCs w:val="28"/>
        </w:rPr>
        <w:t>городского округа</w:t>
      </w:r>
      <w:r w:rsidRPr="00D0262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 соседних городов в развитии туризма. Использование природного потенциала региона. Установление контактов с туристическими агентствами России, СНГ и других стран. Привлечение инвестиций малого и среднего бизнеса в туристскую индустрию. </w:t>
      </w:r>
    </w:p>
    <w:p w:rsidR="009539F8" w:rsidRPr="00D02627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D02627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Факторы, ограничивающие развитие туризма в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Осташковск</w:t>
      </w:r>
      <w:r w:rsidR="00E5519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 </w:t>
      </w:r>
      <w:r w:rsidR="00472DE5">
        <w:rPr>
          <w:rFonts w:ascii="Times New Roman" w:hAnsi="Times New Roman" w:cs="Times New Roman"/>
          <w:sz w:val="28"/>
          <w:szCs w:val="28"/>
        </w:rPr>
        <w:t>городско</w:t>
      </w:r>
      <w:r w:rsidR="00E55199">
        <w:rPr>
          <w:rFonts w:ascii="Times New Roman" w:hAnsi="Times New Roman" w:cs="Times New Roman"/>
          <w:sz w:val="28"/>
          <w:szCs w:val="28"/>
        </w:rPr>
        <w:t xml:space="preserve">м </w:t>
      </w:r>
      <w:r w:rsidR="00472DE5">
        <w:rPr>
          <w:rFonts w:ascii="Times New Roman" w:hAnsi="Times New Roman" w:cs="Times New Roman"/>
          <w:sz w:val="28"/>
          <w:szCs w:val="28"/>
        </w:rPr>
        <w:t>округ</w:t>
      </w:r>
      <w:r w:rsidR="00E55199">
        <w:rPr>
          <w:rFonts w:ascii="Times New Roman" w:hAnsi="Times New Roman" w:cs="Times New Roman"/>
          <w:sz w:val="28"/>
          <w:szCs w:val="28"/>
        </w:rPr>
        <w:t>е</w:t>
      </w:r>
      <w:r w:rsidRPr="00D02627">
        <w:rPr>
          <w:rFonts w:ascii="Times New Roman" w:hAnsi="Times New Roman" w:cs="Times New Roman"/>
          <w:sz w:val="28"/>
          <w:szCs w:val="28"/>
        </w:rPr>
        <w:t>: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кадровый дефицит;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ярко выраженная сезонность</w:t>
      </w:r>
      <w:r w:rsidR="00472DE5">
        <w:rPr>
          <w:rFonts w:ascii="Times New Roman" w:hAnsi="Times New Roman" w:cs="Times New Roman"/>
          <w:sz w:val="28"/>
          <w:szCs w:val="28"/>
        </w:rPr>
        <w:t xml:space="preserve"> </w:t>
      </w:r>
      <w:r w:rsidRPr="00D02627">
        <w:rPr>
          <w:rFonts w:ascii="Times New Roman" w:hAnsi="Times New Roman" w:cs="Times New Roman"/>
          <w:sz w:val="28"/>
          <w:szCs w:val="28"/>
        </w:rPr>
        <w:t>туристического потока;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недостаточно развитая туристская инфраструктура (отсутствие гостиниц с достаточным количеством мест для размещения  туристов, высокие цены на услуги в гостиничном бизнесе, недостаточное количество организованных туристических стоянок, несоответствие по показателю «цена - качество» предоставляемых услуг в области туризма и гостиничного обслуживания населения);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неудовлетворительное состояние туристических объектов и дорог в историческом центре города;</w:t>
      </w:r>
    </w:p>
    <w:p w:rsidR="009539F8" w:rsidRPr="00D02627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отсутствие единой инвестиционной базы для развития объектов туризма;</w:t>
      </w:r>
    </w:p>
    <w:p w:rsidR="009539F8" w:rsidRPr="00472DE5" w:rsidRDefault="009539F8" w:rsidP="00472DE5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преобладание доли неорганизованных туристов над организованными.</w:t>
      </w:r>
    </w:p>
    <w:p w:rsidR="009539F8" w:rsidRPr="00D02627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Террито</w:t>
      </w:r>
      <w:r w:rsidR="00916B96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D02627">
        <w:rPr>
          <w:rFonts w:ascii="Times New Roman" w:hAnsi="Times New Roman" w:cs="Times New Roman"/>
          <w:sz w:val="28"/>
          <w:szCs w:val="28"/>
        </w:rPr>
        <w:t>Осташковск</w:t>
      </w:r>
      <w:r w:rsidR="00E55199">
        <w:rPr>
          <w:rFonts w:ascii="Times New Roman" w:hAnsi="Times New Roman" w:cs="Times New Roman"/>
          <w:sz w:val="28"/>
          <w:szCs w:val="28"/>
        </w:rPr>
        <w:t>ого</w:t>
      </w:r>
      <w:r w:rsidRPr="00D02627">
        <w:rPr>
          <w:rFonts w:ascii="Times New Roman" w:hAnsi="Times New Roman" w:cs="Times New Roman"/>
          <w:sz w:val="28"/>
          <w:szCs w:val="28"/>
        </w:rPr>
        <w:t xml:space="preserve"> </w:t>
      </w:r>
      <w:r w:rsidR="00472DE5">
        <w:rPr>
          <w:rFonts w:ascii="Times New Roman" w:hAnsi="Times New Roman" w:cs="Times New Roman"/>
          <w:sz w:val="28"/>
          <w:szCs w:val="28"/>
        </w:rPr>
        <w:t>городско</w:t>
      </w:r>
      <w:r w:rsidR="00E55199">
        <w:rPr>
          <w:rFonts w:ascii="Times New Roman" w:hAnsi="Times New Roman" w:cs="Times New Roman"/>
          <w:sz w:val="28"/>
          <w:szCs w:val="28"/>
        </w:rPr>
        <w:t>го</w:t>
      </w:r>
      <w:r w:rsidR="00472DE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>
        <w:rPr>
          <w:rFonts w:ascii="Times New Roman" w:hAnsi="Times New Roman" w:cs="Times New Roman"/>
          <w:sz w:val="28"/>
          <w:szCs w:val="28"/>
        </w:rPr>
        <w:t>а</w:t>
      </w:r>
      <w:r w:rsidRPr="00D02627">
        <w:rPr>
          <w:rFonts w:ascii="Times New Roman" w:hAnsi="Times New Roman" w:cs="Times New Roman"/>
          <w:sz w:val="28"/>
          <w:szCs w:val="28"/>
        </w:rPr>
        <w:t xml:space="preserve"> </w:t>
      </w:r>
      <w:r w:rsidRPr="00DE613D">
        <w:rPr>
          <w:rFonts w:ascii="Times New Roman" w:hAnsi="Times New Roman" w:cs="Times New Roman"/>
          <w:sz w:val="28"/>
          <w:szCs w:val="28"/>
        </w:rPr>
        <w:t>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</w:t>
      </w:r>
      <w:r w:rsidRPr="00D02627">
        <w:rPr>
          <w:rFonts w:ascii="Times New Roman" w:hAnsi="Times New Roman" w:cs="Times New Roman"/>
          <w:sz w:val="28"/>
          <w:szCs w:val="28"/>
        </w:rPr>
        <w:t xml:space="preserve">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D02627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D02627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D02627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D02627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D02627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D02627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D02627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D02627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многоплесовое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 озеро с изрезанной береговой линией. Оно распадается на длинные, вытянутые заливы – плесы: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lastRenderedPageBreak/>
        <w:t>Селижаровский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Кравотынский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Полоновский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 и Березовский. Отдельные части озера имеют самостоятельные названия (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Серемо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D02627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D02627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D02627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>
        <w:rPr>
          <w:rFonts w:ascii="Times New Roman" w:hAnsi="Times New Roman" w:cs="Times New Roman"/>
          <w:sz w:val="28"/>
          <w:szCs w:val="28"/>
        </w:rPr>
        <w:t>округа</w:t>
      </w:r>
      <w:r w:rsidRPr="00D02627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D02627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2627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7436CE">
        <w:rPr>
          <w:rFonts w:ascii="Times New Roman" w:hAnsi="Times New Roman" w:cs="Times New Roman"/>
          <w:sz w:val="28"/>
          <w:szCs w:val="28"/>
        </w:rPr>
        <w:t>Полновский</w:t>
      </w:r>
      <w:proofErr w:type="spellEnd"/>
      <w:r w:rsidR="007436C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436CE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="007436CE">
        <w:rPr>
          <w:rFonts w:ascii="Times New Roman" w:hAnsi="Times New Roman" w:cs="Times New Roman"/>
          <w:sz w:val="28"/>
          <w:szCs w:val="28"/>
        </w:rPr>
        <w:t>, о-</w:t>
      </w:r>
      <w:r w:rsidRPr="00D0262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Троеручица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>, Лежнево, заказник дикорастущих лекарственных трав «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Уревы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», лесной массив в р-не д.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Щебериха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 xml:space="preserve">, система озер Большое Щучье, </w:t>
      </w:r>
      <w:proofErr w:type="spellStart"/>
      <w:r w:rsidRPr="00D02627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D02627">
        <w:rPr>
          <w:rFonts w:ascii="Times New Roman" w:hAnsi="Times New Roman" w:cs="Times New Roman"/>
          <w:sz w:val="28"/>
          <w:szCs w:val="28"/>
        </w:rPr>
        <w:t>, Боровое, оз. Стерж, оз. Сиг.</w:t>
      </w:r>
    </w:p>
    <w:p w:rsidR="009539F8" w:rsidRPr="00D02627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2627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916B96">
        <w:rPr>
          <w:rFonts w:ascii="Times New Roman" w:hAnsi="Times New Roman" w:cs="Times New Roman"/>
          <w:sz w:val="28"/>
          <w:szCs w:val="28"/>
        </w:rPr>
        <w:t>о</w:t>
      </w:r>
      <w:r w:rsidRPr="00D02627">
        <w:rPr>
          <w:rFonts w:ascii="Times New Roman" w:hAnsi="Times New Roman" w:cs="Times New Roman"/>
          <w:sz w:val="28"/>
          <w:szCs w:val="28"/>
        </w:rPr>
        <w:t xml:space="preserve"> 576 исторических и археологических памятников начиная с эпохи палеолита и заканчивая XIX веком, 87 памятников архитектуры федерального значения, в т.ч. в городе.</w:t>
      </w:r>
    </w:p>
    <w:p w:rsidR="009539F8" w:rsidRPr="000D5DB9" w:rsidRDefault="000D5DB9" w:rsidP="00D02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DB9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0D5DB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0D5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Default="009539F8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D02627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D02627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D02627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2627">
        <w:rPr>
          <w:rFonts w:ascii="Times New Roman" w:hAnsi="Times New Roman" w:cs="Times New Roman"/>
          <w:sz w:val="28"/>
          <w:szCs w:val="28"/>
        </w:rPr>
        <w:t>. Гораздо сложнее ситуация с неорганизованными туристами, поскольку невозможно проследить за тем, каким образом у них решается вопрос со сбором, транспортировкой и утилизацией отходов.</w:t>
      </w:r>
    </w:p>
    <w:p w:rsidR="009539F8" w:rsidRPr="00D02627" w:rsidRDefault="009539F8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Наиболее проблемными, в этом отношении, являются территории Сорожского, Ботовского, Мошенского и Свапущенского сельских поселений. Это связано, прежде всего, с тем, что данные территории, исторически несут на себе наибольшую рекреационную нагрузку: на данных территориях располагается большое количество объектов рекреации и довольно большой поток туристов.</w:t>
      </w:r>
    </w:p>
    <w:p w:rsidR="00BB0171" w:rsidRPr="00D02627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851A6E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6E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851A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851A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0D5DB9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B9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539F8" w:rsidRPr="00D02627" w:rsidRDefault="00C80C26" w:rsidP="00D02627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16B96">
        <w:rPr>
          <w:rFonts w:ascii="Times New Roman" w:hAnsi="Times New Roman" w:cs="Times New Roman"/>
          <w:sz w:val="28"/>
          <w:szCs w:val="28"/>
        </w:rPr>
        <w:t xml:space="preserve">ель 1 </w:t>
      </w:r>
      <w:r w:rsidR="00D9590A">
        <w:rPr>
          <w:rFonts w:ascii="Times New Roman" w:hAnsi="Times New Roman" w:cs="Times New Roman"/>
          <w:sz w:val="28"/>
          <w:szCs w:val="28"/>
        </w:rPr>
        <w:t>«</w:t>
      </w:r>
      <w:r w:rsidR="001E1CE6" w:rsidRPr="001E1CE6">
        <w:rPr>
          <w:rFonts w:ascii="Times New Roman" w:hAnsi="Times New Roman" w:cs="Times New Roman"/>
          <w:sz w:val="28"/>
          <w:szCs w:val="28"/>
        </w:rPr>
        <w:t xml:space="preserve">Развитие туристических услуг </w:t>
      </w:r>
      <w:r w:rsidR="00916B96" w:rsidRPr="001E1CE6">
        <w:rPr>
          <w:rFonts w:ascii="Times New Roman" w:hAnsi="Times New Roman" w:cs="Times New Roman"/>
          <w:sz w:val="28"/>
          <w:szCs w:val="28"/>
        </w:rPr>
        <w:t>на территории</w:t>
      </w:r>
      <w:r w:rsidR="001E1CE6">
        <w:rPr>
          <w:rFonts w:ascii="Times New Roman" w:hAnsi="Times New Roman" w:cs="Times New Roman"/>
          <w:sz w:val="28"/>
          <w:szCs w:val="28"/>
        </w:rPr>
        <w:t xml:space="preserve"> Осташковск</w:t>
      </w:r>
      <w:r w:rsidR="00E55199">
        <w:rPr>
          <w:rFonts w:ascii="Times New Roman" w:hAnsi="Times New Roman" w:cs="Times New Roman"/>
          <w:sz w:val="28"/>
          <w:szCs w:val="28"/>
        </w:rPr>
        <w:t xml:space="preserve">ого </w:t>
      </w:r>
      <w:r w:rsidR="00916B96">
        <w:rPr>
          <w:rFonts w:ascii="Times New Roman" w:hAnsi="Times New Roman" w:cs="Times New Roman"/>
          <w:sz w:val="28"/>
          <w:szCs w:val="28"/>
        </w:rPr>
        <w:t>городско</w:t>
      </w:r>
      <w:r w:rsidR="00E55199">
        <w:rPr>
          <w:rFonts w:ascii="Times New Roman" w:hAnsi="Times New Roman" w:cs="Times New Roman"/>
          <w:sz w:val="28"/>
          <w:szCs w:val="28"/>
        </w:rPr>
        <w:t>го</w:t>
      </w:r>
      <w:r w:rsidR="00916B9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>
        <w:rPr>
          <w:rFonts w:ascii="Times New Roman" w:hAnsi="Times New Roman" w:cs="Times New Roman"/>
          <w:sz w:val="28"/>
          <w:szCs w:val="28"/>
        </w:rPr>
        <w:t>а</w:t>
      </w:r>
      <w:r w:rsidR="00D9590A">
        <w:rPr>
          <w:rFonts w:ascii="Times New Roman" w:hAnsi="Times New Roman" w:cs="Times New Roman"/>
          <w:sz w:val="28"/>
          <w:szCs w:val="28"/>
        </w:rPr>
        <w:t>»</w:t>
      </w:r>
      <w:r w:rsidR="00916B96">
        <w:rPr>
          <w:rFonts w:ascii="Times New Roman" w:hAnsi="Times New Roman" w:cs="Times New Roman"/>
          <w:sz w:val="28"/>
          <w:szCs w:val="28"/>
        </w:rPr>
        <w:t>.</w:t>
      </w:r>
    </w:p>
    <w:p w:rsidR="00BB0171" w:rsidRDefault="00C80C26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9539F8" w:rsidRPr="00EA1F1C">
        <w:rPr>
          <w:rFonts w:ascii="Times New Roman" w:hAnsi="Times New Roman" w:cs="Times New Roman"/>
          <w:color w:val="000000"/>
          <w:sz w:val="28"/>
          <w:szCs w:val="28"/>
        </w:rPr>
        <w:t>оказател</w:t>
      </w:r>
      <w:r w:rsidR="00EA1F1C" w:rsidRPr="00EA1F1C">
        <w:rPr>
          <w:rFonts w:ascii="Times New Roman" w:hAnsi="Times New Roman" w:cs="Times New Roman"/>
          <w:color w:val="000000"/>
          <w:sz w:val="28"/>
          <w:szCs w:val="28"/>
        </w:rPr>
        <w:t>ь:</w:t>
      </w:r>
      <w:r w:rsidR="009A1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«Увеличение к</w:t>
      </w:r>
      <w:r w:rsidR="00EA1F1C" w:rsidRPr="00EA1F1C">
        <w:rPr>
          <w:rFonts w:ascii="Times New Roman" w:hAnsi="Times New Roman" w:cs="Times New Roman"/>
          <w:color w:val="000000"/>
          <w:sz w:val="28"/>
          <w:szCs w:val="28"/>
        </w:rPr>
        <w:t>оличеств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A1F1C" w:rsidRPr="00EA1F1C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рекреации привлекаемых к участию в мероприятиях направленных на развитие туризма на территории </w:t>
      </w:r>
      <w:r w:rsidR="00E5519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66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5DB9" w:rsidRPr="00916B96" w:rsidRDefault="000D5DB9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1 «Развитие туристической отрасли 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Осташковском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округе»</w:t>
      </w:r>
    </w:p>
    <w:p w:rsidR="009539F8" w:rsidRPr="00865F65" w:rsidRDefault="006C66ED" w:rsidP="00865F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>Задачи программы</w:t>
      </w:r>
      <w:r w:rsidR="00A0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C2" w:rsidRDefault="00A015C4" w:rsidP="00E55199">
      <w:pPr>
        <w:pStyle w:val="ConsPlusCell"/>
        <w:widowControl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="00FD0AC2" w:rsidRPr="00FD0AC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D0AC2">
        <w:rPr>
          <w:rFonts w:ascii="Times New Roman" w:hAnsi="Times New Roman" w:cs="Times New Roman"/>
          <w:sz w:val="28"/>
          <w:szCs w:val="28"/>
        </w:rPr>
        <w:t>туристической отрасли</w:t>
      </w:r>
      <w:r w:rsidR="00E55199">
        <w:rPr>
          <w:rFonts w:ascii="Times New Roman" w:hAnsi="Times New Roman" w:cs="Times New Roman"/>
          <w:sz w:val="28"/>
          <w:szCs w:val="28"/>
        </w:rPr>
        <w:t xml:space="preserve"> на 2018-2023 годы</w:t>
      </w:r>
      <w:r w:rsidR="00916B96">
        <w:rPr>
          <w:rFonts w:ascii="Times New Roman" w:hAnsi="Times New Roman" w:cs="Times New Roman"/>
          <w:sz w:val="28"/>
          <w:szCs w:val="28"/>
        </w:rPr>
        <w:t>»</w:t>
      </w:r>
      <w:r w:rsidR="00A72CA7">
        <w:rPr>
          <w:rFonts w:ascii="Times New Roman" w:hAnsi="Times New Roman" w:cs="Times New Roman"/>
          <w:sz w:val="28"/>
          <w:szCs w:val="28"/>
        </w:rPr>
        <w:t xml:space="preserve"> </w:t>
      </w:r>
      <w:r w:rsidR="00FD0AC2" w:rsidRPr="00FD0A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0AC2" w:rsidRPr="00FD0AC2">
        <w:rPr>
          <w:rFonts w:ascii="Times New Roman" w:hAnsi="Times New Roman" w:cs="Times New Roman"/>
          <w:sz w:val="28"/>
          <w:szCs w:val="28"/>
        </w:rPr>
        <w:t>Осташковск</w:t>
      </w:r>
      <w:r w:rsidR="00916B9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D0AC2" w:rsidRPr="00FD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916B96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916B96">
        <w:rPr>
          <w:rFonts w:ascii="Times New Roman" w:hAnsi="Times New Roman" w:cs="Times New Roman"/>
          <w:sz w:val="28"/>
          <w:szCs w:val="28"/>
        </w:rPr>
        <w:t>е</w:t>
      </w:r>
      <w:r w:rsidR="00FD0AC2">
        <w:rPr>
          <w:rFonts w:ascii="Times New Roman" w:hAnsi="Times New Roman" w:cs="Times New Roman"/>
          <w:sz w:val="28"/>
          <w:szCs w:val="28"/>
        </w:rPr>
        <w:t xml:space="preserve"> связана с решением следующих задач:</w:t>
      </w:r>
    </w:p>
    <w:p w:rsidR="000D5DB9" w:rsidRDefault="00771C02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C02">
        <w:rPr>
          <w:rFonts w:ascii="Times New Roman" w:hAnsi="Times New Roman" w:cs="Times New Roman"/>
          <w:b/>
          <w:sz w:val="28"/>
          <w:szCs w:val="28"/>
        </w:rPr>
        <w:t>З</w:t>
      </w:r>
      <w:r w:rsidR="009E0A57" w:rsidRPr="00771C02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A015C4">
        <w:rPr>
          <w:rFonts w:ascii="Times New Roman" w:hAnsi="Times New Roman" w:cs="Times New Roman"/>
          <w:b/>
          <w:sz w:val="28"/>
          <w:szCs w:val="28"/>
        </w:rPr>
        <w:t>1</w:t>
      </w:r>
      <w:r w:rsidR="00FD0AC2">
        <w:rPr>
          <w:rFonts w:ascii="Times New Roman" w:hAnsi="Times New Roman" w:cs="Times New Roman"/>
          <w:sz w:val="28"/>
          <w:szCs w:val="28"/>
        </w:rPr>
        <w:t xml:space="preserve"> </w:t>
      </w:r>
      <w:r w:rsidR="000D5DB9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5842B0">
        <w:rPr>
          <w:rFonts w:ascii="Times New Roman" w:hAnsi="Times New Roman" w:cs="Times New Roman"/>
          <w:color w:val="000000"/>
          <w:sz w:val="28"/>
          <w:szCs w:val="28"/>
        </w:rPr>
        <w:t>«Привлечение потока туристов в Осташковский городской округ»</w:t>
      </w:r>
    </w:p>
    <w:p w:rsidR="000D5DB9" w:rsidRDefault="009E0A57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C02">
        <w:rPr>
          <w:rFonts w:ascii="Times New Roman" w:hAnsi="Times New Roman" w:cs="Times New Roman"/>
          <w:b/>
          <w:sz w:val="28"/>
          <w:szCs w:val="28"/>
        </w:rPr>
        <w:t xml:space="preserve">Решение задачи </w:t>
      </w:r>
      <w:r w:rsidR="00A015C4">
        <w:rPr>
          <w:rFonts w:ascii="Times New Roman" w:hAnsi="Times New Roman" w:cs="Times New Roman"/>
          <w:b/>
          <w:sz w:val="28"/>
          <w:szCs w:val="28"/>
        </w:rPr>
        <w:t>1</w:t>
      </w:r>
      <w:r w:rsidR="00771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DB9" w:rsidRPr="005842B0">
        <w:rPr>
          <w:rFonts w:ascii="Times New Roman" w:hAnsi="Times New Roman" w:cs="Times New Roman"/>
          <w:color w:val="000000"/>
          <w:sz w:val="28"/>
          <w:szCs w:val="28"/>
        </w:rPr>
        <w:t xml:space="preserve">«Привлечение потока туристов в </w:t>
      </w:r>
      <w:r w:rsidR="000D5DB9">
        <w:rPr>
          <w:rFonts w:ascii="Times New Roman" w:hAnsi="Times New Roman" w:cs="Times New Roman"/>
          <w:color w:val="000000"/>
          <w:sz w:val="28"/>
          <w:szCs w:val="28"/>
        </w:rPr>
        <w:t>Осташковский городской округ</w:t>
      </w:r>
      <w:r w:rsidR="00E551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5D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D5DB9" w:rsidRPr="005842B0">
        <w:rPr>
          <w:rFonts w:ascii="Times New Roman" w:hAnsi="Times New Roman" w:cs="Times New Roman"/>
          <w:color w:val="000000"/>
          <w:sz w:val="28"/>
          <w:szCs w:val="28"/>
        </w:rPr>
        <w:t>оценивается с помощью показателя:</w:t>
      </w:r>
    </w:p>
    <w:p w:rsidR="000D5DB9" w:rsidRDefault="000D5DB9" w:rsidP="000D5DB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5842B0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участников </w:t>
      </w:r>
      <w:r w:rsidR="00F17E32">
        <w:rPr>
          <w:rFonts w:ascii="Times New Roman" w:hAnsi="Times New Roman" w:cs="Times New Roman"/>
          <w:color w:val="000000"/>
          <w:sz w:val="28"/>
          <w:szCs w:val="28"/>
        </w:rPr>
        <w:t>событийных мероприятий</w:t>
      </w:r>
      <w:proofErr w:type="gramStart"/>
      <w:r w:rsidR="00F17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D5DB9" w:rsidRDefault="000D5DB9" w:rsidP="000D5DB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42B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проведенных </w:t>
      </w:r>
      <w:r w:rsidR="00F17E32">
        <w:rPr>
          <w:rFonts w:ascii="Times New Roman" w:hAnsi="Times New Roman" w:cs="Times New Roman"/>
          <w:color w:val="000000"/>
          <w:sz w:val="28"/>
          <w:szCs w:val="28"/>
        </w:rPr>
        <w:t xml:space="preserve">событийных мероприятий </w:t>
      </w:r>
      <w:r w:rsidRPr="005842B0">
        <w:rPr>
          <w:rFonts w:ascii="Times New Roman" w:hAnsi="Times New Roman" w:cs="Times New Roman"/>
          <w:color w:val="000000"/>
          <w:sz w:val="28"/>
          <w:szCs w:val="28"/>
        </w:rPr>
        <w:t>на территории Осташковск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842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842B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:rsidR="000D5DB9" w:rsidRDefault="000D5DB9" w:rsidP="000D5DB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5842B0">
        <w:rPr>
          <w:rFonts w:ascii="Times New Roman" w:hAnsi="Times New Roman" w:cs="Times New Roman"/>
          <w:color w:val="000000"/>
          <w:sz w:val="28"/>
          <w:szCs w:val="28"/>
        </w:rPr>
        <w:t>оличество проведенных совещаний, "круглых столов" и т.д. на тему развития туризма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01F" w:rsidRPr="00AE301F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01F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Мероприятие  1.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благоприятного имиджа округа и развитие сферы туризма» (организация </w:t>
      </w:r>
      <w:r w:rsidR="00F17E32">
        <w:rPr>
          <w:rFonts w:ascii="Times New Roman" w:hAnsi="Times New Roman" w:cs="Times New Roman"/>
          <w:color w:val="000000"/>
          <w:sz w:val="28"/>
          <w:szCs w:val="28"/>
        </w:rPr>
        <w:t>и проведение событийных мероприятий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E301F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01F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проведенных </w:t>
      </w:r>
      <w:r w:rsidR="002A2BA5">
        <w:rPr>
          <w:rFonts w:ascii="Times New Roman" w:hAnsi="Times New Roman" w:cs="Times New Roman"/>
          <w:color w:val="000000"/>
          <w:sz w:val="28"/>
          <w:szCs w:val="28"/>
        </w:rPr>
        <w:t>событийных мероприятий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Осташковск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2B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03C1" w:rsidRDefault="00771C02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C02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A03AA9" w:rsidRPr="00771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адача </w:t>
      </w:r>
      <w:r w:rsidR="00D7577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A03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C1" w:rsidRPr="005842B0">
        <w:rPr>
          <w:rFonts w:ascii="Times New Roman" w:hAnsi="Times New Roman" w:cs="Times New Roman"/>
          <w:color w:val="000000"/>
          <w:sz w:val="28"/>
          <w:szCs w:val="28"/>
        </w:rPr>
        <w:t>Создание системы рекламно - информационного  обес</w:t>
      </w:r>
      <w:r w:rsidR="000303C1">
        <w:rPr>
          <w:rFonts w:ascii="Times New Roman" w:hAnsi="Times New Roman" w:cs="Times New Roman"/>
          <w:color w:val="000000"/>
          <w:sz w:val="28"/>
          <w:szCs w:val="28"/>
        </w:rPr>
        <w:t>печения туристской деятельности»</w:t>
      </w:r>
    </w:p>
    <w:p w:rsidR="000303C1" w:rsidRDefault="00A03AA9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задачи </w:t>
      </w:r>
      <w:r w:rsidR="00D7577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303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03C1" w:rsidRPr="005842B0">
        <w:rPr>
          <w:rFonts w:ascii="Times New Roman" w:hAnsi="Times New Roman" w:cs="Times New Roman"/>
          <w:color w:val="000000"/>
          <w:sz w:val="28"/>
          <w:szCs w:val="28"/>
        </w:rPr>
        <w:t>«Создание системы рекламно - информационного  обеспечения туристской деятельности»</w:t>
      </w:r>
      <w:r w:rsidR="00030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3C1" w:rsidRPr="00DE613D">
        <w:rPr>
          <w:rFonts w:ascii="Times New Roman" w:hAnsi="Times New Roman" w:cs="Times New Roman"/>
          <w:color w:val="000000"/>
          <w:sz w:val="28"/>
          <w:szCs w:val="28"/>
        </w:rPr>
        <w:t>оценивается с помощью показателя:</w:t>
      </w:r>
    </w:p>
    <w:p w:rsidR="000303C1" w:rsidRDefault="000303C1" w:rsidP="000303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DE613D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изготовленных и распространенных туристских маршрутов, буклетов, проспектов и т.д.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Осташковскому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городскому округу;</w:t>
      </w:r>
    </w:p>
    <w:p w:rsidR="000303C1" w:rsidRDefault="000303C1" w:rsidP="000303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DE613D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видов изготовленных туристических маршрутов, буклетов, проспектов и т.д.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Осташковскому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городскому округу;</w:t>
      </w:r>
    </w:p>
    <w:p w:rsidR="000303C1" w:rsidRDefault="000303C1" w:rsidP="000303C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</w:t>
      </w:r>
      <w:r w:rsidRPr="00DE613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613D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публикаций в местных СМИ о мероприятиях проводимых согласно событийного календаря мероприятий.</w:t>
      </w:r>
    </w:p>
    <w:p w:rsidR="00AE301F" w:rsidRPr="00AE301F" w:rsidRDefault="00AE301F" w:rsidP="00AE301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301F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Мероприятие 1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 «Информационное обеспечение развития туризма»</w:t>
      </w:r>
    </w:p>
    <w:p w:rsidR="00AE301F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01F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 «Количество видов </w:t>
      </w:r>
      <w:r w:rsidR="007436CE">
        <w:rPr>
          <w:rFonts w:ascii="Times New Roman" w:hAnsi="Times New Roman" w:cs="Times New Roman"/>
          <w:color w:val="000000"/>
          <w:sz w:val="28"/>
          <w:szCs w:val="28"/>
        </w:rPr>
        <w:t>разработанных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 туристических маршрутов, </w:t>
      </w:r>
      <w:r w:rsidR="007436C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36CE"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изготовленных </w:t>
      </w:r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буклетов, проспектов и т.д. по </w:t>
      </w:r>
      <w:proofErr w:type="spellStart"/>
      <w:r w:rsidRPr="00AE301F">
        <w:rPr>
          <w:rFonts w:ascii="Times New Roman" w:hAnsi="Times New Roman" w:cs="Times New Roman"/>
          <w:color w:val="000000"/>
          <w:sz w:val="28"/>
          <w:szCs w:val="28"/>
        </w:rPr>
        <w:t>Осташковскому</w:t>
      </w:r>
      <w:proofErr w:type="spellEnd"/>
      <w:r w:rsidRPr="00AE301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городскому округу»</w:t>
      </w:r>
    </w:p>
    <w:p w:rsidR="00270BDA" w:rsidRDefault="00270BDA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каждого административного мероприятия  и мероприятия программы оценивается с помощью показателей, перечень которых приведен в приложение 2 к программе.</w:t>
      </w:r>
    </w:p>
    <w:p w:rsidR="00AE301F" w:rsidRPr="00583D18" w:rsidRDefault="00BA3A12" w:rsidP="00AE30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tab/>
      </w:r>
      <w:r w:rsidR="00AE301F" w:rsidRPr="00583D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финансовых ресурсов, </w:t>
      </w:r>
      <w:r w:rsidR="00AE301F" w:rsidRPr="00583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необходимый для реализации подпрограммы</w:t>
      </w:r>
    </w:p>
    <w:p w:rsidR="00AE301F" w:rsidRDefault="00AE301F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12" w:rsidRPr="00B84A2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27">
        <w:rPr>
          <w:rFonts w:ascii="Times New Roman" w:hAnsi="Times New Roman" w:cs="Times New Roman"/>
          <w:sz w:val="28"/>
          <w:szCs w:val="28"/>
        </w:rPr>
        <w:lastRenderedPageBreak/>
        <w:t>Общий объем бюджетных  ассигнований, выделенный на реализацию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13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туристической  отрасли </w:t>
      </w:r>
      <w:r w:rsidRPr="005D13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70E44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A70E44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D02627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92BD4">
        <w:rPr>
          <w:rFonts w:ascii="Times New Roman" w:hAnsi="Times New Roman" w:cs="Times New Roman"/>
          <w:sz w:val="28"/>
          <w:szCs w:val="28"/>
        </w:rPr>
        <w:t xml:space="preserve">     </w:t>
      </w:r>
      <w:r w:rsidR="00F11E4D" w:rsidRPr="00F11E4D">
        <w:rPr>
          <w:rFonts w:ascii="Times New Roman" w:hAnsi="Times New Roman" w:cs="Times New Roman"/>
          <w:sz w:val="28"/>
          <w:szCs w:val="28"/>
        </w:rPr>
        <w:t>921 435</w:t>
      </w:r>
      <w:r w:rsidR="00A70E44" w:rsidRPr="00A70E44">
        <w:rPr>
          <w:rFonts w:ascii="Times New Roman" w:hAnsi="Times New Roman" w:cs="Times New Roman"/>
          <w:sz w:val="28"/>
          <w:szCs w:val="28"/>
        </w:rPr>
        <w:t>,00</w:t>
      </w:r>
      <w:r w:rsidR="00A70E44">
        <w:rPr>
          <w:rFonts w:ascii="Times New Roman" w:hAnsi="Times New Roman" w:cs="Times New Roman"/>
          <w:sz w:val="28"/>
          <w:szCs w:val="28"/>
        </w:rPr>
        <w:t xml:space="preserve"> </w:t>
      </w:r>
      <w:r w:rsidRPr="00B84A23">
        <w:rPr>
          <w:rFonts w:ascii="Times New Roman" w:hAnsi="Times New Roman" w:cs="Times New Roman"/>
          <w:sz w:val="28"/>
          <w:szCs w:val="28"/>
        </w:rPr>
        <w:t>руб.</w:t>
      </w:r>
    </w:p>
    <w:p w:rsidR="00BA3A12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13E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выделенный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1, по годам реализации муниципальной программы в разрезе задач, приведен в таблице 1.</w:t>
      </w:r>
    </w:p>
    <w:p w:rsidR="00A70E44" w:rsidRDefault="00A70E44" w:rsidP="00A70E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733A2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/>
      </w:tblPr>
      <w:tblGrid>
        <w:gridCol w:w="534"/>
        <w:gridCol w:w="1196"/>
        <w:gridCol w:w="850"/>
        <w:gridCol w:w="993"/>
        <w:gridCol w:w="992"/>
        <w:gridCol w:w="992"/>
        <w:gridCol w:w="851"/>
        <w:gridCol w:w="850"/>
        <w:gridCol w:w="2235"/>
      </w:tblGrid>
      <w:tr w:rsidR="004159E4" w:rsidRPr="00A70E44" w:rsidTr="004159E4">
        <w:tc>
          <w:tcPr>
            <w:tcW w:w="534" w:type="dxa"/>
            <w:vMerge w:val="restart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2235" w:type="dxa"/>
            <w:vMerge w:val="restart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4159E4" w:rsidRPr="00A70E44" w:rsidTr="004159E4">
        <w:tc>
          <w:tcPr>
            <w:tcW w:w="534" w:type="dxa"/>
            <w:vMerge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4159E4" w:rsidRPr="00A70E44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235" w:type="dxa"/>
            <w:vMerge/>
            <w:vAlign w:val="center"/>
          </w:tcPr>
          <w:p w:rsidR="004159E4" w:rsidRPr="00A70E44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A70E44" w:rsidRPr="00A70E44" w:rsidTr="004E067E">
        <w:tc>
          <w:tcPr>
            <w:tcW w:w="534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A70E44" w:rsidRPr="00A70E44" w:rsidRDefault="00021F95" w:rsidP="00021F9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172410</w:t>
            </w:r>
            <w:r w:rsidR="00A70E44" w:rsidRPr="00A70E44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3" w:type="dxa"/>
            <w:vAlign w:val="center"/>
          </w:tcPr>
          <w:p w:rsidR="00A70E44" w:rsidRPr="00A70E44" w:rsidRDefault="00F11E4D" w:rsidP="00F11E4D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369</w:t>
            </w:r>
            <w:r w:rsidR="00A70E44" w:rsidRPr="00A70E44">
              <w:rPr>
                <w:rFonts w:ascii="Times New Roman" w:hAnsi="Times New Roman" w:cs="Times New Roman"/>
                <w:sz w:val="18"/>
                <w:szCs w:val="14"/>
              </w:rPr>
              <w:t> 205,00</w:t>
            </w:r>
          </w:p>
        </w:tc>
        <w:tc>
          <w:tcPr>
            <w:tcW w:w="992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86 205,00</w:t>
            </w:r>
          </w:p>
        </w:tc>
        <w:tc>
          <w:tcPr>
            <w:tcW w:w="992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86 205,00</w:t>
            </w:r>
          </w:p>
        </w:tc>
        <w:tc>
          <w:tcPr>
            <w:tcW w:w="851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86 205,00</w:t>
            </w:r>
          </w:p>
        </w:tc>
        <w:tc>
          <w:tcPr>
            <w:tcW w:w="850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86 205,00</w:t>
            </w:r>
          </w:p>
        </w:tc>
        <w:tc>
          <w:tcPr>
            <w:tcW w:w="2235" w:type="dxa"/>
            <w:vAlign w:val="center"/>
          </w:tcPr>
          <w:p w:rsidR="00A70E44" w:rsidRPr="00A70E44" w:rsidRDefault="00F11E4D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886 435</w:t>
            </w:r>
            <w:r w:rsidR="00021F95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</w:tr>
      <w:tr w:rsidR="00A70E44" w:rsidRPr="00A70E44" w:rsidTr="004E067E">
        <w:tc>
          <w:tcPr>
            <w:tcW w:w="534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993" w:type="dxa"/>
            <w:vAlign w:val="center"/>
          </w:tcPr>
          <w:p w:rsidR="00A70E44" w:rsidRPr="00A70E44" w:rsidRDefault="00F11E4D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</w:t>
            </w:r>
            <w:r w:rsidR="00A70E44" w:rsidRPr="00A70E44">
              <w:rPr>
                <w:rFonts w:ascii="Times New Roman" w:hAnsi="Times New Roman" w:cs="Times New Roman"/>
                <w:sz w:val="18"/>
                <w:szCs w:val="14"/>
              </w:rPr>
              <w:t> 000,00</w:t>
            </w:r>
          </w:p>
        </w:tc>
        <w:tc>
          <w:tcPr>
            <w:tcW w:w="992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992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851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850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2235" w:type="dxa"/>
            <w:vAlign w:val="center"/>
          </w:tcPr>
          <w:p w:rsidR="00A70E44" w:rsidRPr="00A70E44" w:rsidRDefault="00F11E4D" w:rsidP="00F11E4D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35</w:t>
            </w:r>
            <w:r w:rsidR="00270BDA">
              <w:rPr>
                <w:rFonts w:ascii="Times New Roman" w:hAnsi="Times New Roman" w:cs="Times New Roman"/>
                <w:sz w:val="18"/>
                <w:szCs w:val="14"/>
              </w:rPr>
              <w:t>000,00</w:t>
            </w:r>
          </w:p>
        </w:tc>
      </w:tr>
      <w:tr w:rsidR="00A70E44" w:rsidRPr="00A70E44" w:rsidTr="000C3B2E">
        <w:tc>
          <w:tcPr>
            <w:tcW w:w="1730" w:type="dxa"/>
            <w:gridSpan w:val="2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A70E44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A70E44" w:rsidRPr="00A70E44" w:rsidRDefault="00021F95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175410</w:t>
            </w:r>
            <w:r w:rsidR="00A70E44" w:rsidRPr="00A70E44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993" w:type="dxa"/>
            <w:vAlign w:val="center"/>
          </w:tcPr>
          <w:p w:rsidR="00A70E44" w:rsidRPr="00A70E44" w:rsidRDefault="00F11E4D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</w:t>
            </w:r>
            <w:r w:rsidR="00A70E44" w:rsidRPr="00A70E44">
              <w:rPr>
                <w:rFonts w:ascii="Times New Roman" w:hAnsi="Times New Roman" w:cs="Times New Roman"/>
                <w:b/>
                <w:sz w:val="18"/>
                <w:szCs w:val="14"/>
              </w:rPr>
              <w:t>89 205,00</w:t>
            </w:r>
          </w:p>
        </w:tc>
        <w:tc>
          <w:tcPr>
            <w:tcW w:w="992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b/>
                <w:sz w:val="18"/>
                <w:szCs w:val="14"/>
              </w:rPr>
              <w:t>89 205,00</w:t>
            </w:r>
          </w:p>
        </w:tc>
        <w:tc>
          <w:tcPr>
            <w:tcW w:w="992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b/>
                <w:sz w:val="18"/>
                <w:szCs w:val="14"/>
              </w:rPr>
              <w:t>89 205,00</w:t>
            </w:r>
          </w:p>
        </w:tc>
        <w:tc>
          <w:tcPr>
            <w:tcW w:w="851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b/>
                <w:sz w:val="18"/>
                <w:szCs w:val="14"/>
              </w:rPr>
              <w:t>89 205,00</w:t>
            </w:r>
          </w:p>
        </w:tc>
        <w:tc>
          <w:tcPr>
            <w:tcW w:w="850" w:type="dxa"/>
            <w:vAlign w:val="center"/>
          </w:tcPr>
          <w:p w:rsidR="00A70E44" w:rsidRPr="00A70E44" w:rsidRDefault="00A70E44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A70E44">
              <w:rPr>
                <w:rFonts w:ascii="Times New Roman" w:hAnsi="Times New Roman" w:cs="Times New Roman"/>
                <w:b/>
                <w:sz w:val="18"/>
                <w:szCs w:val="14"/>
              </w:rPr>
              <w:t>89 205,00</w:t>
            </w:r>
          </w:p>
        </w:tc>
        <w:tc>
          <w:tcPr>
            <w:tcW w:w="2235" w:type="dxa"/>
            <w:vAlign w:val="center"/>
          </w:tcPr>
          <w:p w:rsidR="00A70E44" w:rsidRPr="00A70E44" w:rsidRDefault="00F11E4D" w:rsidP="00A70E4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921 435,00</w:t>
            </w:r>
          </w:p>
        </w:tc>
      </w:tr>
    </w:tbl>
    <w:p w:rsidR="00BA3A12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9F8" w:rsidRPr="00D02627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D02627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D02627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B01F8C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02627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201</w:t>
      </w:r>
      <w:r w:rsidR="003733A2">
        <w:rPr>
          <w:rFonts w:ascii="Times New Roman" w:hAnsi="Times New Roman" w:cs="Times New Roman"/>
          <w:noProof/>
          <w:sz w:val="28"/>
          <w:szCs w:val="28"/>
        </w:rPr>
        <w:t>8</w:t>
      </w:r>
      <w:r w:rsidRPr="00D02627">
        <w:rPr>
          <w:rFonts w:ascii="Times New Roman" w:hAnsi="Times New Roman" w:cs="Times New Roman"/>
          <w:noProof/>
          <w:sz w:val="28"/>
          <w:szCs w:val="28"/>
        </w:rPr>
        <w:t>-</w:t>
      </w:r>
      <w:r w:rsidR="00157786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>
        <w:rPr>
          <w:rFonts w:ascii="Times New Roman" w:hAnsi="Times New Roman" w:cs="Times New Roman"/>
          <w:noProof/>
          <w:sz w:val="28"/>
          <w:szCs w:val="28"/>
        </w:rPr>
        <w:t>23</w:t>
      </w:r>
      <w:r w:rsidRPr="00D02627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D02627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>
        <w:rPr>
          <w:rFonts w:ascii="Times New Roman" w:hAnsi="Times New Roman" w:cs="Times New Roman"/>
          <w:b/>
          <w:sz w:val="28"/>
          <w:szCs w:val="28"/>
        </w:rPr>
        <w:t>4</w:t>
      </w:r>
      <w:r w:rsidRPr="00D02627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D02627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D02627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D02627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80"/>
      <w:r w:rsidRPr="00583D18">
        <w:rPr>
          <w:rFonts w:ascii="Times New Roman" w:eastAsia="Times New Roman" w:hAnsi="Times New Roman" w:cs="Times New Roman"/>
          <w:sz w:val="28"/>
          <w:szCs w:val="28"/>
        </w:rPr>
        <w:t>В реализации муниципальной программы принимают участие Администрация Осташковского городского округа и отдел молодёжи и туризма администрации Осташковского городского округа (далее - Отдел).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81"/>
      <w:bookmarkEnd w:id="2"/>
      <w:r w:rsidRPr="00583D18">
        <w:rPr>
          <w:rFonts w:ascii="Times New Roman" w:eastAsia="Times New Roman" w:hAnsi="Times New Roman" w:cs="Times New Roman"/>
          <w:sz w:val="28"/>
          <w:szCs w:val="28"/>
        </w:rPr>
        <w:t>Отдел:</w:t>
      </w:r>
    </w:p>
    <w:bookmarkEnd w:id="3"/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а) самостоятельно определяет формы и методы  реализации муниципальной программы, составляет планы мероприятий, обеспечивающие реализацию муниципальной программы;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б) осуществляет  реализацию муниципальной программы в соответствии с ежегодными планами мероприятий;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г) осуществляет  анализ реализации муниципальной программы;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82"/>
      <w:r w:rsidRPr="00583D18">
        <w:rPr>
          <w:rFonts w:ascii="Times New Roman" w:eastAsia="Times New Roman" w:hAnsi="Times New Roman" w:cs="Times New Roman"/>
          <w:sz w:val="28"/>
          <w:szCs w:val="28"/>
        </w:rPr>
        <w:t>д) обеспечивает своевременное и полное выполнение муниципальной программы.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Контроль и управление реализацией муниципальной программы осуществляет Администрация Осташковского городского округа.</w:t>
      </w:r>
    </w:p>
    <w:bookmarkEnd w:id="4"/>
    <w:p w:rsidR="006D6A2A" w:rsidRPr="00047B4E" w:rsidRDefault="00740D19" w:rsidP="00740D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срок не позднее 1 марта  отдел молодежи и туризма администрации Осташковского городского округа осуществляет разработку плана мероприятий по реализации муниципальной программы и обеспечивает его утверждение Главой Осташковского городского округа.</w:t>
      </w:r>
    </w:p>
    <w:p w:rsidR="00B01F8C" w:rsidRDefault="00B01F8C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D02627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9539F8" w:rsidRPr="00D02627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27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в течение всего периода ее реализации осуществляют: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а) главный администратор муниципальной программы;</w:t>
      </w:r>
    </w:p>
    <w:p w:rsidR="00047B4E" w:rsidRP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б) </w:t>
      </w:r>
      <w:r w:rsidR="00740D19" w:rsidRPr="00047B4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40D19">
        <w:rPr>
          <w:rFonts w:ascii="Times New Roman" w:hAnsi="Times New Roman" w:cs="Times New Roman"/>
          <w:sz w:val="28"/>
          <w:szCs w:val="28"/>
        </w:rPr>
        <w:t>экономического развития, потребительского рынка</w:t>
      </w:r>
      <w:r w:rsidR="00740D19" w:rsidRPr="00047B4E">
        <w:rPr>
          <w:rFonts w:ascii="Times New Roman" w:hAnsi="Times New Roman" w:cs="Times New Roman"/>
          <w:sz w:val="28"/>
          <w:szCs w:val="28"/>
        </w:rPr>
        <w:t xml:space="preserve"> </w:t>
      </w:r>
      <w:r w:rsidR="00740D19">
        <w:rPr>
          <w:rFonts w:ascii="Times New Roman" w:hAnsi="Times New Roman" w:cs="Times New Roman"/>
          <w:sz w:val="28"/>
          <w:szCs w:val="28"/>
        </w:rPr>
        <w:t>и предпринимательства</w:t>
      </w:r>
      <w:r w:rsidR="00740D19" w:rsidRPr="00047B4E">
        <w:rPr>
          <w:rFonts w:ascii="Times New Roman" w:hAnsi="Times New Roman" w:cs="Times New Roman"/>
          <w:sz w:val="28"/>
          <w:szCs w:val="28"/>
        </w:rPr>
        <w:t xml:space="preserve"> администрации Осташковск</w:t>
      </w:r>
      <w:r w:rsidR="00740D19">
        <w:rPr>
          <w:rFonts w:ascii="Times New Roman" w:hAnsi="Times New Roman" w:cs="Times New Roman"/>
          <w:sz w:val="28"/>
          <w:szCs w:val="28"/>
        </w:rPr>
        <w:t>ого</w:t>
      </w:r>
      <w:r w:rsidR="00740D19" w:rsidRPr="00047B4E">
        <w:rPr>
          <w:rFonts w:ascii="Times New Roman" w:hAnsi="Times New Roman" w:cs="Times New Roman"/>
          <w:sz w:val="28"/>
          <w:szCs w:val="28"/>
        </w:rPr>
        <w:t xml:space="preserve"> </w:t>
      </w:r>
      <w:r w:rsidR="00740D1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47B4E">
        <w:rPr>
          <w:rFonts w:ascii="Times New Roman" w:hAnsi="Times New Roman" w:cs="Times New Roman"/>
          <w:sz w:val="28"/>
          <w:szCs w:val="28"/>
        </w:rPr>
        <w:t>;</w:t>
      </w:r>
    </w:p>
    <w:p w:rsidR="00047B4E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в) финансов</w:t>
      </w:r>
      <w:r w:rsidR="00270BDA">
        <w:rPr>
          <w:rFonts w:ascii="Times New Roman" w:hAnsi="Times New Roman" w:cs="Times New Roman"/>
          <w:sz w:val="28"/>
          <w:szCs w:val="28"/>
        </w:rPr>
        <w:t xml:space="preserve">ое </w:t>
      </w:r>
      <w:r w:rsidR="00740D19">
        <w:rPr>
          <w:rFonts w:ascii="Times New Roman" w:hAnsi="Times New Roman" w:cs="Times New Roman"/>
          <w:sz w:val="28"/>
          <w:szCs w:val="28"/>
        </w:rPr>
        <w:t xml:space="preserve"> </w:t>
      </w:r>
      <w:r w:rsidR="00270BDA">
        <w:rPr>
          <w:rFonts w:ascii="Times New Roman" w:hAnsi="Times New Roman" w:cs="Times New Roman"/>
          <w:sz w:val="28"/>
          <w:szCs w:val="28"/>
        </w:rPr>
        <w:t>управление</w:t>
      </w:r>
      <w:r w:rsidR="00740D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47B4E">
        <w:rPr>
          <w:rFonts w:ascii="Times New Roman" w:hAnsi="Times New Roman" w:cs="Times New Roman"/>
          <w:sz w:val="28"/>
          <w:szCs w:val="28"/>
        </w:rPr>
        <w:t>Осташковск</w:t>
      </w:r>
      <w:r w:rsidR="00857411">
        <w:rPr>
          <w:rFonts w:ascii="Times New Roman" w:hAnsi="Times New Roman" w:cs="Times New Roman"/>
          <w:sz w:val="28"/>
          <w:szCs w:val="28"/>
        </w:rPr>
        <w:t>ого</w:t>
      </w:r>
      <w:r w:rsidRPr="00047B4E">
        <w:rPr>
          <w:rFonts w:ascii="Times New Roman" w:hAnsi="Times New Roman" w:cs="Times New Roman"/>
          <w:sz w:val="28"/>
          <w:szCs w:val="28"/>
        </w:rPr>
        <w:t xml:space="preserve"> </w:t>
      </w:r>
      <w:r w:rsidR="00E52E3F">
        <w:rPr>
          <w:rFonts w:ascii="Times New Roman" w:hAnsi="Times New Roman" w:cs="Times New Roman"/>
          <w:sz w:val="28"/>
          <w:szCs w:val="28"/>
        </w:rPr>
        <w:t>городско</w:t>
      </w:r>
      <w:r w:rsidR="00857411">
        <w:rPr>
          <w:rFonts w:ascii="Times New Roman" w:hAnsi="Times New Roman" w:cs="Times New Roman"/>
          <w:sz w:val="28"/>
          <w:szCs w:val="28"/>
        </w:rPr>
        <w:t>го</w:t>
      </w:r>
      <w:r w:rsidR="00E52E3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7411">
        <w:rPr>
          <w:rFonts w:ascii="Times New Roman" w:hAnsi="Times New Roman" w:cs="Times New Roman"/>
          <w:sz w:val="28"/>
          <w:szCs w:val="28"/>
        </w:rPr>
        <w:t>а</w:t>
      </w:r>
      <w:r w:rsidRPr="00047B4E">
        <w:rPr>
          <w:rFonts w:ascii="Times New Roman" w:hAnsi="Times New Roman" w:cs="Times New Roman"/>
          <w:sz w:val="28"/>
          <w:szCs w:val="28"/>
        </w:rPr>
        <w:t>.</w:t>
      </w:r>
    </w:p>
    <w:p w:rsidR="00857411" w:rsidRPr="00047B4E" w:rsidRDefault="00857411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83"/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83D18">
        <w:rPr>
          <w:rFonts w:ascii="Times New Roman" w:eastAsia="Times New Roman" w:hAnsi="Times New Roman" w:cs="Times New Roman"/>
          <w:sz w:val="28"/>
          <w:szCs w:val="28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молодежи  и туризма</w:t>
      </w:r>
      <w:r w:rsidRPr="00583D1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регулярного сбора, анализа и оценки:</w:t>
      </w:r>
    </w:p>
    <w:bookmarkEnd w:id="5"/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84"/>
      <w:r w:rsidRPr="00583D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83D18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проведения мониторинга реализации муниципальной программы являются:</w:t>
      </w:r>
    </w:p>
    <w:bookmarkEnd w:id="6"/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а) статистика показателей, характеризующих сферу реализации муниципальной программы;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б) отчёты о проведении мероприятий программы.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85"/>
      <w:r w:rsidRPr="00583D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3D18">
        <w:rPr>
          <w:rFonts w:ascii="Times New Roman" w:eastAsia="Times New Roman" w:hAnsi="Times New Roman" w:cs="Times New Roman"/>
          <w:sz w:val="28"/>
          <w:szCs w:val="28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молодежи и туризма </w:t>
      </w:r>
      <w:r w:rsidRPr="00583D18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всего периода ее реализации и предусматривает:</w:t>
      </w:r>
    </w:p>
    <w:bookmarkEnd w:id="7"/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а) корректировку (при необходимости) ежегодного плана мероприятий по реализации муниципальной программы;</w:t>
      </w:r>
    </w:p>
    <w:p w:rsidR="00740D19" w:rsidRPr="00583D18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D18">
        <w:rPr>
          <w:rFonts w:ascii="Times New Roman" w:eastAsia="Times New Roman" w:hAnsi="Times New Roman" w:cs="Times New Roman"/>
          <w:sz w:val="28"/>
          <w:szCs w:val="28"/>
        </w:rPr>
        <w:t>б) формирование отчета о реализации муниципальной программы за отчетный финансовый год.</w:t>
      </w:r>
    </w:p>
    <w:p w:rsidR="0063648C" w:rsidRDefault="0063648C" w:rsidP="00E52E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4E" w:rsidRPr="00D02627" w:rsidRDefault="009539F8" w:rsidP="00047B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62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BA3A12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539F8" w:rsidRPr="00D02627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627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Pr="00D0262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0262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</w:p>
    <w:p w:rsidR="009539F8" w:rsidRPr="00D02627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627">
        <w:rPr>
          <w:rFonts w:ascii="Times New Roman" w:eastAsia="Times New Roman" w:hAnsi="Times New Roman" w:cs="Times New Roman"/>
          <w:b/>
          <w:sz w:val="28"/>
          <w:szCs w:val="28"/>
        </w:rPr>
        <w:t>и меры по управлению рисками</w:t>
      </w:r>
    </w:p>
    <w:p w:rsidR="009539F8" w:rsidRPr="00D02627" w:rsidRDefault="009539F8" w:rsidP="009539F8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 программы могут проявиться внешние и внутренние риски. 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рисками реализации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t xml:space="preserve">а) отсутствие профессионального  менеджмента; 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t>б) недостаточная квалификация отдельных работников учреждений – исполнителей программы.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снижения вероятности</w:t>
      </w:r>
      <w:r w:rsidRPr="00047B4E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а) повышение квалификации работников </w:t>
      </w:r>
      <w:r w:rsidR="00270BDA">
        <w:rPr>
          <w:rFonts w:ascii="Times New Roman" w:hAnsi="Times New Roman" w:cs="Times New Roman"/>
          <w:bCs/>
          <w:sz w:val="28"/>
          <w:szCs w:val="28"/>
        </w:rPr>
        <w:t>туристической сферы.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Внешними рисками реализации государственной программы являются: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б) изменение финансирования;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Способом ограничения внешних рисков является: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а) своевременное внесение изменений в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программу; 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б) контроль за ходом выполнения мероприятий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 и совершенствование механизма текущего управления реализацией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в) непрерывный мониторинг выполнения показателей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047B4E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>г) информирование населения Осташковск</w:t>
      </w:r>
      <w:r w:rsidR="00464BBF">
        <w:rPr>
          <w:rFonts w:ascii="Times New Roman" w:hAnsi="Times New Roman" w:cs="Times New Roman"/>
          <w:sz w:val="28"/>
          <w:szCs w:val="28"/>
        </w:rPr>
        <w:t>ого</w:t>
      </w:r>
      <w:r w:rsidRPr="00047B4E">
        <w:rPr>
          <w:rFonts w:ascii="Times New Roman" w:hAnsi="Times New Roman" w:cs="Times New Roman"/>
          <w:sz w:val="28"/>
          <w:szCs w:val="28"/>
        </w:rPr>
        <w:t xml:space="preserve"> </w:t>
      </w:r>
      <w:r w:rsidR="00E52E3F">
        <w:rPr>
          <w:rFonts w:ascii="Times New Roman" w:hAnsi="Times New Roman" w:cs="Times New Roman"/>
          <w:sz w:val="28"/>
          <w:szCs w:val="28"/>
        </w:rPr>
        <w:t>городско</w:t>
      </w:r>
      <w:r w:rsidR="00464BBF">
        <w:rPr>
          <w:rFonts w:ascii="Times New Roman" w:hAnsi="Times New Roman" w:cs="Times New Roman"/>
          <w:sz w:val="28"/>
          <w:szCs w:val="28"/>
        </w:rPr>
        <w:t>го</w:t>
      </w:r>
      <w:r w:rsidR="00E52E3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4BBF">
        <w:rPr>
          <w:rFonts w:ascii="Times New Roman" w:hAnsi="Times New Roman" w:cs="Times New Roman"/>
          <w:sz w:val="28"/>
          <w:szCs w:val="28"/>
        </w:rPr>
        <w:t>а</w:t>
      </w:r>
      <w:r w:rsidRPr="00047B4E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176F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4E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</w:t>
      </w:r>
      <w:r w:rsidRPr="00047B4E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047B4E">
        <w:rPr>
          <w:rFonts w:ascii="Times New Roman" w:hAnsi="Times New Roman" w:cs="Times New Roman"/>
          <w:sz w:val="28"/>
          <w:szCs w:val="28"/>
        </w:rPr>
        <w:t xml:space="preserve">на основе мониторинга реализации </w:t>
      </w:r>
      <w:r w:rsidRPr="00047B4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7B4E">
        <w:rPr>
          <w:rFonts w:ascii="Times New Roman" w:hAnsi="Times New Roman" w:cs="Times New Roman"/>
          <w:sz w:val="28"/>
          <w:szCs w:val="28"/>
        </w:rPr>
        <w:t xml:space="preserve"> программы и оценки ее эффективности и результативности.</w:t>
      </w:r>
    </w:p>
    <w:p w:rsidR="00F3176F" w:rsidRPr="00F3176F" w:rsidRDefault="00F3176F" w:rsidP="00F317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3176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F3176F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3176F" w:rsidRPr="00F3176F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 xml:space="preserve">"Развитие туристической </w:t>
      </w:r>
    </w:p>
    <w:p w:rsidR="00F3176F" w:rsidRPr="00F3176F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>Отрасли на 2018- 2023 годы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176F" w:rsidRPr="00F3176F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F3176F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Осташковского городского округа </w:t>
      </w:r>
      <w:r w:rsidRPr="00F3176F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3176F" w:rsidRPr="00F3176F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176F">
        <w:rPr>
          <w:rFonts w:ascii="Times New Roman" w:hAnsi="Times New Roman" w:cs="Times New Roman"/>
          <w:b/>
          <w:sz w:val="24"/>
          <w:szCs w:val="24"/>
        </w:rPr>
        <w:t>«Развитие туристической 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3176F">
        <w:rPr>
          <w:rFonts w:ascii="Times New Roman" w:hAnsi="Times New Roman" w:cs="Times New Roman"/>
          <w:b/>
          <w:sz w:val="24"/>
          <w:szCs w:val="24"/>
        </w:rPr>
        <w:t xml:space="preserve"> на 2018 - 2023 годы»</w:t>
      </w:r>
    </w:p>
    <w:p w:rsidR="00F3176F" w:rsidRPr="00F3176F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8" w:type="dxa"/>
        <w:tblInd w:w="-432" w:type="dxa"/>
        <w:tblLayout w:type="fixed"/>
        <w:tblLook w:val="01E0"/>
      </w:tblPr>
      <w:tblGrid>
        <w:gridCol w:w="2696"/>
        <w:gridCol w:w="963"/>
        <w:gridCol w:w="2299"/>
        <w:gridCol w:w="2237"/>
        <w:gridCol w:w="2013"/>
      </w:tblGrid>
      <w:tr w:rsidR="00F3176F" w:rsidRPr="00F3176F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разработки, реализации и оценки эффективности реализации муниципальных программ  Осташковского городского округа </w:t>
            </w:r>
          </w:p>
        </w:tc>
      </w:tr>
      <w:tr w:rsidR="00F3176F" w:rsidRPr="00F3176F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рекреации привлекаемых к участию в мероприятиях направленных на развитие туризма на территории </w:t>
            </w:r>
            <w:r w:rsidR="00270BD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молодежи и туризма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F3176F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BA5" w:rsidRPr="00F3176F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5" w:rsidRPr="00F3176F" w:rsidRDefault="002A2BA5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2BA5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событийных мероприятий  на территории Осташковского городского округа"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5" w:rsidRPr="00F3176F" w:rsidRDefault="002A2BA5" w:rsidP="00DE50F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5" w:rsidRPr="00F3176F" w:rsidRDefault="002A2BA5" w:rsidP="00DE50F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молодежи и туризма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5" w:rsidRPr="00F3176F" w:rsidRDefault="002A2BA5" w:rsidP="00DE50F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BA5" w:rsidRPr="00F3176F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 w:rsidP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событийных 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</w:t>
            </w:r>
            <w:r w:rsidRPr="00F31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31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Осташковского городского округа; отдел молодежи и туризма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A2BA5" w:rsidRPr="00F3176F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совещаний, "круглых столов" и т.д. на тему развития туризма</w:t>
            </w:r>
          </w:p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молодежи и туризма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BA5" w:rsidRPr="00F3176F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разработанных туристических маршрутов, и изготовленных буклетов, проспектов и т.д.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молодежи и туризма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BA5" w:rsidRPr="00F3176F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изготовленных туристических маршрутов, буклетов, проспектов и т.д. по </w:t>
            </w:r>
            <w:proofErr w:type="spellStart"/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F317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молодежи и туризма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2BA5" w:rsidRPr="00F3176F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о мероприятиях проводимых согласно событийного календаря мероприятий.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молодежи и туризма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A5" w:rsidRPr="00F3176F" w:rsidRDefault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7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2BA5" w:rsidRDefault="002A2BA5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F3176F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F3176F" w:rsidRPr="00F3176F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3176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176F" w:rsidRPr="00F3176F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3176F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отдела молодежи и туризма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559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75593">
        <w:rPr>
          <w:rFonts w:ascii="Times New Roman" w:hAnsi="Times New Roman" w:cs="Times New Roman"/>
          <w:sz w:val="24"/>
          <w:szCs w:val="24"/>
          <w:u w:val="single"/>
        </w:rPr>
        <w:t xml:space="preserve">Ю.В.Пенкина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F3176F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5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Pr="00F3176F">
        <w:rPr>
          <w:rFonts w:ascii="Times New Roman" w:hAnsi="Times New Roman" w:cs="Times New Roman"/>
          <w:sz w:val="24"/>
          <w:szCs w:val="24"/>
        </w:rPr>
        <w:t xml:space="preserve">одпись                   расшифровка </w:t>
      </w:r>
    </w:p>
    <w:p w:rsidR="009539F8" w:rsidRPr="00F3176F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F3176F" w:rsidSect="0031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9F8"/>
    <w:rsid w:val="00021F95"/>
    <w:rsid w:val="000303C1"/>
    <w:rsid w:val="00047B4E"/>
    <w:rsid w:val="0007306C"/>
    <w:rsid w:val="00076BAB"/>
    <w:rsid w:val="000D5DB9"/>
    <w:rsid w:val="00102730"/>
    <w:rsid w:val="00114AD3"/>
    <w:rsid w:val="0012293F"/>
    <w:rsid w:val="00136148"/>
    <w:rsid w:val="00143B68"/>
    <w:rsid w:val="00157786"/>
    <w:rsid w:val="001A0FD4"/>
    <w:rsid w:val="001B3B06"/>
    <w:rsid w:val="001E1CE6"/>
    <w:rsid w:val="001F697A"/>
    <w:rsid w:val="0020385B"/>
    <w:rsid w:val="00213BBB"/>
    <w:rsid w:val="00270BDA"/>
    <w:rsid w:val="002A2BA5"/>
    <w:rsid w:val="002A4D18"/>
    <w:rsid w:val="002C06C2"/>
    <w:rsid w:val="002E396D"/>
    <w:rsid w:val="0030654E"/>
    <w:rsid w:val="00364C1B"/>
    <w:rsid w:val="0036616E"/>
    <w:rsid w:val="003733A2"/>
    <w:rsid w:val="003D3E28"/>
    <w:rsid w:val="003F1A02"/>
    <w:rsid w:val="003F5045"/>
    <w:rsid w:val="00411669"/>
    <w:rsid w:val="004159E4"/>
    <w:rsid w:val="00435588"/>
    <w:rsid w:val="00464BBF"/>
    <w:rsid w:val="00472DE5"/>
    <w:rsid w:val="004F4710"/>
    <w:rsid w:val="00504A08"/>
    <w:rsid w:val="00516A4C"/>
    <w:rsid w:val="005266E5"/>
    <w:rsid w:val="00541A45"/>
    <w:rsid w:val="0058142E"/>
    <w:rsid w:val="005842B0"/>
    <w:rsid w:val="00590ED2"/>
    <w:rsid w:val="00591530"/>
    <w:rsid w:val="005A5E45"/>
    <w:rsid w:val="005D0571"/>
    <w:rsid w:val="005D13EF"/>
    <w:rsid w:val="00614DB2"/>
    <w:rsid w:val="0063648C"/>
    <w:rsid w:val="00651C36"/>
    <w:rsid w:val="00662C09"/>
    <w:rsid w:val="006C66ED"/>
    <w:rsid w:val="006D6A2A"/>
    <w:rsid w:val="006E13F2"/>
    <w:rsid w:val="00737165"/>
    <w:rsid w:val="00740D19"/>
    <w:rsid w:val="007436CE"/>
    <w:rsid w:val="00771C02"/>
    <w:rsid w:val="00786428"/>
    <w:rsid w:val="007C61FE"/>
    <w:rsid w:val="007E6B85"/>
    <w:rsid w:val="007F70E2"/>
    <w:rsid w:val="00806B14"/>
    <w:rsid w:val="00807D24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945D4"/>
    <w:rsid w:val="008A61D9"/>
    <w:rsid w:val="008B06F1"/>
    <w:rsid w:val="008C03C9"/>
    <w:rsid w:val="008D6AAA"/>
    <w:rsid w:val="00916B96"/>
    <w:rsid w:val="00926617"/>
    <w:rsid w:val="00935215"/>
    <w:rsid w:val="009539F8"/>
    <w:rsid w:val="00992BD4"/>
    <w:rsid w:val="009A1BA7"/>
    <w:rsid w:val="009B1304"/>
    <w:rsid w:val="009C19B5"/>
    <w:rsid w:val="009E0A57"/>
    <w:rsid w:val="00A015C4"/>
    <w:rsid w:val="00A03AA9"/>
    <w:rsid w:val="00A07479"/>
    <w:rsid w:val="00A11337"/>
    <w:rsid w:val="00A25CF7"/>
    <w:rsid w:val="00A54DEA"/>
    <w:rsid w:val="00A67799"/>
    <w:rsid w:val="00A70E44"/>
    <w:rsid w:val="00A72CA7"/>
    <w:rsid w:val="00A93FF7"/>
    <w:rsid w:val="00A941C7"/>
    <w:rsid w:val="00AA1EEF"/>
    <w:rsid w:val="00AE301F"/>
    <w:rsid w:val="00AF2FAF"/>
    <w:rsid w:val="00B01F8C"/>
    <w:rsid w:val="00B11C07"/>
    <w:rsid w:val="00B34E27"/>
    <w:rsid w:val="00B62718"/>
    <w:rsid w:val="00B84A23"/>
    <w:rsid w:val="00BA3A12"/>
    <w:rsid w:val="00BB0171"/>
    <w:rsid w:val="00BB3CF4"/>
    <w:rsid w:val="00C03225"/>
    <w:rsid w:val="00C56B8D"/>
    <w:rsid w:val="00C80C26"/>
    <w:rsid w:val="00CA552F"/>
    <w:rsid w:val="00D02627"/>
    <w:rsid w:val="00D27076"/>
    <w:rsid w:val="00D31774"/>
    <w:rsid w:val="00D37D4B"/>
    <w:rsid w:val="00D7577B"/>
    <w:rsid w:val="00D9590A"/>
    <w:rsid w:val="00DE613D"/>
    <w:rsid w:val="00DF1CB7"/>
    <w:rsid w:val="00DF4C09"/>
    <w:rsid w:val="00DF55CB"/>
    <w:rsid w:val="00E5075B"/>
    <w:rsid w:val="00E52E3F"/>
    <w:rsid w:val="00E55199"/>
    <w:rsid w:val="00E64F43"/>
    <w:rsid w:val="00E75593"/>
    <w:rsid w:val="00EA1A2E"/>
    <w:rsid w:val="00EA1F1C"/>
    <w:rsid w:val="00EB4018"/>
    <w:rsid w:val="00EF683C"/>
    <w:rsid w:val="00F05CEF"/>
    <w:rsid w:val="00F11E4D"/>
    <w:rsid w:val="00F17E32"/>
    <w:rsid w:val="00F3176F"/>
    <w:rsid w:val="00F34C41"/>
    <w:rsid w:val="00FD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2581-F097-49CA-ABA0-65B5A6F7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Зорина ЛА</cp:lastModifiedBy>
  <cp:revision>4</cp:revision>
  <cp:lastPrinted>2019-01-31T10:52:00Z</cp:lastPrinted>
  <dcterms:created xsi:type="dcterms:W3CDTF">2018-11-20T09:21:00Z</dcterms:created>
  <dcterms:modified xsi:type="dcterms:W3CDTF">2019-01-31T10:54:00Z</dcterms:modified>
</cp:coreProperties>
</file>